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6E187" w14:textId="77777777" w:rsidR="006C7E47" w:rsidRPr="006C7E47" w:rsidRDefault="006C7E47" w:rsidP="008D7464">
      <w:pPr>
        <w:pBdr>
          <w:top w:val="single" w:sz="4" w:space="1" w:color="auto"/>
          <w:left w:val="single" w:sz="4" w:space="4" w:color="auto"/>
          <w:bottom w:val="single" w:sz="4" w:space="1" w:color="auto"/>
          <w:right w:val="single" w:sz="4" w:space="4" w:color="auto"/>
        </w:pBdr>
        <w:spacing w:after="240"/>
        <w:jc w:val="center"/>
        <w:rPr>
          <w:b/>
          <w:bCs/>
          <w:sz w:val="24"/>
          <w:szCs w:val="28"/>
        </w:rPr>
      </w:pPr>
      <w:r>
        <w:rPr>
          <w:b/>
          <w:bCs/>
          <w:sz w:val="24"/>
          <w:szCs w:val="28"/>
        </w:rPr>
        <w:t xml:space="preserve">CHARTER VERSION OF 17/02/2017 </w:t>
      </w:r>
      <w:proofErr w:type="spellStart"/>
      <w:r>
        <w:rPr>
          <w:b/>
          <w:bCs/>
          <w:sz w:val="24"/>
          <w:szCs w:val="28"/>
        </w:rPr>
        <w:t>INSA</w:t>
      </w:r>
      <w:proofErr w:type="spellEnd"/>
      <w:r>
        <w:rPr>
          <w:b/>
          <w:bCs/>
          <w:sz w:val="24"/>
          <w:szCs w:val="28"/>
        </w:rPr>
        <w:t xml:space="preserve"> LYON</w:t>
      </w:r>
    </w:p>
    <w:p w14:paraId="1986E644" w14:textId="77777777" w:rsidR="006C7E47" w:rsidRPr="006C7E47" w:rsidRDefault="006C7E47" w:rsidP="008D7464">
      <w:pPr>
        <w:spacing w:after="240"/>
        <w:rPr>
          <w:b/>
          <w:bCs/>
          <w:sz w:val="24"/>
          <w:szCs w:val="28"/>
        </w:rPr>
      </w:pPr>
      <w:r>
        <w:rPr>
          <w:b/>
          <w:bCs/>
          <w:sz w:val="24"/>
          <w:szCs w:val="28"/>
        </w:rPr>
        <w:t>PREAMBLE</w:t>
      </w:r>
    </w:p>
    <w:p w14:paraId="673C7998" w14:textId="77777777" w:rsidR="006C7E47" w:rsidRPr="006C7E47" w:rsidRDefault="006C7E47" w:rsidP="008D7464">
      <w:pPr>
        <w:spacing w:after="120"/>
        <w:jc w:val="both"/>
      </w:pPr>
      <w:r>
        <w:t>Gender equality is a fundamental right for all and a core value for democracy. In order for this right to be fully realised, it must not only be legally recognised but must be effectively exercised and be applied to all aspects of life: political, economic, social and cultural.</w:t>
      </w:r>
    </w:p>
    <w:p w14:paraId="1611B395" w14:textId="77777777" w:rsidR="006C7E47" w:rsidRPr="006C7E47" w:rsidRDefault="006C7E47" w:rsidP="008D7464">
      <w:pPr>
        <w:spacing w:after="120"/>
        <w:jc w:val="both"/>
      </w:pPr>
      <w:r>
        <w:t>The Conference of University Presidents (CPU), the Conference of Directors of French Engineering Schools (</w:t>
      </w:r>
      <w:proofErr w:type="spellStart"/>
      <w:r>
        <w:t>CDEFI</w:t>
      </w:r>
      <w:proofErr w:type="spellEnd"/>
      <w:r>
        <w:t xml:space="preserve">) and the Conference of Grandes </w:t>
      </w:r>
      <w:proofErr w:type="spellStart"/>
      <w:r>
        <w:t>Ecoles</w:t>
      </w:r>
      <w:proofErr w:type="spellEnd"/>
      <w:r>
        <w:t xml:space="preserve"> (</w:t>
      </w:r>
      <w:proofErr w:type="spellStart"/>
      <w:r>
        <w:t>CGE</w:t>
      </w:r>
      <w:proofErr w:type="spellEnd"/>
      <w:r>
        <w:t>) have been committed for several years to gender equality and reaffirm their willingness to implement a common policy in this area, with the support of the Ministry of Higher Education and Research and the Ministry of Women's Rights.</w:t>
      </w:r>
    </w:p>
    <w:p w14:paraId="40231C2B" w14:textId="77777777" w:rsidR="006C7E47" w:rsidRPr="006C7E47" w:rsidRDefault="006C7E47" w:rsidP="008D7464">
      <w:pPr>
        <w:numPr>
          <w:ilvl w:val="0"/>
          <w:numId w:val="1"/>
        </w:numPr>
        <w:tabs>
          <w:tab w:val="clear" w:pos="851"/>
        </w:tabs>
        <w:suppressAutoHyphens/>
        <w:spacing w:after="60"/>
        <w:jc w:val="both"/>
        <w:rPr>
          <w:rFonts w:cs="Calibri"/>
        </w:rPr>
      </w:pPr>
      <w:r>
        <w:t>Considering Article 23 of the Charter of Fundamental Rights of the European Union;</w:t>
      </w:r>
    </w:p>
    <w:p w14:paraId="1DFC6A93" w14:textId="77777777" w:rsidR="006C7E47" w:rsidRPr="006C7E47" w:rsidRDefault="006C7E47" w:rsidP="008D7464">
      <w:pPr>
        <w:numPr>
          <w:ilvl w:val="0"/>
          <w:numId w:val="1"/>
        </w:numPr>
        <w:tabs>
          <w:tab w:val="clear" w:pos="851"/>
        </w:tabs>
        <w:suppressAutoHyphens/>
        <w:spacing w:after="60"/>
        <w:jc w:val="both"/>
        <w:rPr>
          <w:rFonts w:cs="Calibri"/>
        </w:rPr>
      </w:pPr>
      <w:r>
        <w:t>Considering Directive 2006/EC of the European Parliament and of the Council of 5 July 2006 on the implementation of the principle of equal opportunities and equal treatment of men and women in matters of employment and occupation;</w:t>
      </w:r>
    </w:p>
    <w:p w14:paraId="779151C8" w14:textId="77777777" w:rsidR="006C7E47" w:rsidRPr="006C7E47" w:rsidRDefault="006C7E47" w:rsidP="008D7464">
      <w:pPr>
        <w:numPr>
          <w:ilvl w:val="0"/>
          <w:numId w:val="1"/>
        </w:numPr>
        <w:tabs>
          <w:tab w:val="clear" w:pos="851"/>
        </w:tabs>
        <w:suppressAutoHyphens/>
        <w:spacing w:after="60"/>
        <w:jc w:val="both"/>
        <w:rPr>
          <w:rFonts w:cs="Calibri"/>
        </w:rPr>
      </w:pPr>
      <w:r>
        <w:t>Considering Article 14 of the European Convention on Human Rights;</w:t>
      </w:r>
    </w:p>
    <w:p w14:paraId="1CFB5155" w14:textId="77777777" w:rsidR="006C7E47" w:rsidRPr="006C7E47" w:rsidRDefault="006C7E47" w:rsidP="008D7464">
      <w:pPr>
        <w:numPr>
          <w:ilvl w:val="0"/>
          <w:numId w:val="1"/>
        </w:numPr>
        <w:tabs>
          <w:tab w:val="clear" w:pos="851"/>
        </w:tabs>
        <w:suppressAutoHyphens/>
        <w:spacing w:after="60"/>
        <w:jc w:val="both"/>
        <w:rPr>
          <w:rFonts w:cs="Calibri"/>
        </w:rPr>
      </w:pPr>
      <w:r>
        <w:t>Considering the provisions of Law no. 83-634 of 13 July 1983 on the rights and obligations of civil servants;</w:t>
      </w:r>
    </w:p>
    <w:p w14:paraId="706BDE1A" w14:textId="77777777" w:rsidR="006C7E47" w:rsidRPr="006C7E47" w:rsidRDefault="006C7E47" w:rsidP="008D7464">
      <w:pPr>
        <w:numPr>
          <w:ilvl w:val="0"/>
          <w:numId w:val="1"/>
        </w:numPr>
        <w:tabs>
          <w:tab w:val="clear" w:pos="851"/>
        </w:tabs>
        <w:suppressAutoHyphens/>
        <w:spacing w:after="60"/>
        <w:jc w:val="both"/>
        <w:rPr>
          <w:rFonts w:cs="Calibri"/>
        </w:rPr>
      </w:pPr>
      <w:r>
        <w:t>Considering the provisions of Law no. 2012-347 of 12 March 2012 relating to access to permanent employment and the improvement of employment conditions for contract agents in the civil service, the fight against discrimination and various provisions relating to the civil service;</w:t>
      </w:r>
    </w:p>
    <w:p w14:paraId="75347C6F" w14:textId="77777777" w:rsidR="006C7E47" w:rsidRPr="006C7E47" w:rsidRDefault="006C7E47" w:rsidP="008D7464">
      <w:pPr>
        <w:numPr>
          <w:ilvl w:val="0"/>
          <w:numId w:val="1"/>
        </w:numPr>
        <w:tabs>
          <w:tab w:val="clear" w:pos="851"/>
        </w:tabs>
        <w:suppressAutoHyphens/>
        <w:spacing w:after="60"/>
        <w:jc w:val="both"/>
        <w:rPr>
          <w:rFonts w:cs="Calibri"/>
        </w:rPr>
      </w:pPr>
      <w:r>
        <w:t>Considering the provisions of Law no. 2011-103 of 27 January 2011 relating to the balanced representation of women and men on Boards of Directors and Supervisory Boards and to workplace equality for the establishments to which it applies;</w:t>
      </w:r>
    </w:p>
    <w:p w14:paraId="7996AB3A" w14:textId="77777777" w:rsidR="006C7E47" w:rsidRPr="006C7E47" w:rsidRDefault="006C7E47" w:rsidP="008D7464">
      <w:pPr>
        <w:numPr>
          <w:ilvl w:val="0"/>
          <w:numId w:val="1"/>
        </w:numPr>
        <w:tabs>
          <w:tab w:val="clear" w:pos="851"/>
        </w:tabs>
        <w:suppressAutoHyphens/>
        <w:spacing w:after="120"/>
        <w:jc w:val="both"/>
        <w:rPr>
          <w:rFonts w:cs="Calibri"/>
        </w:rPr>
      </w:pPr>
      <w:r>
        <w:t>Considering the governmental commitments highlighted by the Prime Minister's circulars of 23 August 2012;</w:t>
      </w:r>
    </w:p>
    <w:p w14:paraId="2433C87B" w14:textId="77777777" w:rsidR="006C7E47" w:rsidRPr="008D7464" w:rsidRDefault="006C7E47" w:rsidP="008D7464">
      <w:pPr>
        <w:spacing w:after="240"/>
        <w:ind w:left="426"/>
      </w:pPr>
      <w:r>
        <w:t>The Conferences have drawn up this Charter.</w:t>
      </w:r>
    </w:p>
    <w:p w14:paraId="719EECA0" w14:textId="77777777" w:rsidR="006C7E47" w:rsidRPr="008D7464" w:rsidRDefault="006C7E47" w:rsidP="008D7464">
      <w:pPr>
        <w:spacing w:after="240"/>
        <w:rPr>
          <w:b/>
          <w:bCs/>
          <w:sz w:val="24"/>
          <w:szCs w:val="28"/>
        </w:rPr>
      </w:pPr>
      <w:r>
        <w:rPr>
          <w:b/>
          <w:bCs/>
          <w:sz w:val="24"/>
          <w:szCs w:val="28"/>
        </w:rPr>
        <w:t>SHARED COMMITMENTS</w:t>
      </w:r>
    </w:p>
    <w:p w14:paraId="78E89D13" w14:textId="77777777" w:rsidR="006C7E47" w:rsidRPr="008D7464" w:rsidRDefault="006C7E47" w:rsidP="008D7464">
      <w:pPr>
        <w:spacing w:after="120"/>
        <w:jc w:val="both"/>
      </w:pPr>
      <w:r>
        <w:t>The Conferences invite institutions to adhere to this Charter, to take a position on the principles of gender equality, and to publicise and implement commitments in this area. This policy applies to both students and the governance of institutions, all staff, including researchers, and teaching and research activities.</w:t>
      </w:r>
    </w:p>
    <w:p w14:paraId="0EDED1EC" w14:textId="77777777" w:rsidR="006C7E47" w:rsidRPr="008D7464" w:rsidRDefault="006C7E47" w:rsidP="008D7464">
      <w:pPr>
        <w:spacing w:after="120"/>
        <w:jc w:val="both"/>
        <w:rPr>
          <w:b/>
          <w:bCs/>
        </w:rPr>
      </w:pPr>
      <w:r>
        <w:rPr>
          <w:b/>
          <w:bCs/>
        </w:rPr>
        <w:t>The Conferences invite each institution to:</w:t>
      </w:r>
    </w:p>
    <w:p w14:paraId="1528137E" w14:textId="75CEA193" w:rsidR="006C7E47" w:rsidRPr="008D7464" w:rsidRDefault="006D3B8D" w:rsidP="008D7464">
      <w:pPr>
        <w:numPr>
          <w:ilvl w:val="0"/>
          <w:numId w:val="2"/>
        </w:numPr>
        <w:tabs>
          <w:tab w:val="clear" w:pos="851"/>
        </w:tabs>
        <w:suppressAutoHyphens/>
        <w:spacing w:after="60"/>
        <w:jc w:val="both"/>
        <w:rPr>
          <w:rFonts w:cs="Calibri"/>
        </w:rPr>
      </w:pPr>
      <w:r>
        <w:t>A</w:t>
      </w:r>
      <w:r w:rsidR="006C7E47">
        <w:t>ppoint a female point of contact</w:t>
      </w:r>
    </w:p>
    <w:p w14:paraId="3D808A90" w14:textId="53FE4BB2" w:rsidR="006C7E47" w:rsidRPr="008D7464" w:rsidRDefault="006D3B8D" w:rsidP="008D7464">
      <w:pPr>
        <w:numPr>
          <w:ilvl w:val="0"/>
          <w:numId w:val="2"/>
        </w:numPr>
        <w:tabs>
          <w:tab w:val="clear" w:pos="851"/>
        </w:tabs>
        <w:suppressAutoHyphens/>
        <w:spacing w:after="60"/>
        <w:jc w:val="both"/>
        <w:rPr>
          <w:rFonts w:cs="Calibri"/>
        </w:rPr>
      </w:pPr>
      <w:r>
        <w:t>U</w:t>
      </w:r>
      <w:r w:rsidR="006C7E47">
        <w:t>se non-sexist, non-discriminatory, non-stereotypical communication tools</w:t>
      </w:r>
    </w:p>
    <w:p w14:paraId="07507C39" w14:textId="7A792244" w:rsidR="006C7E47" w:rsidRPr="008D7464" w:rsidRDefault="006D3B8D" w:rsidP="008D7464">
      <w:pPr>
        <w:numPr>
          <w:ilvl w:val="0"/>
          <w:numId w:val="2"/>
        </w:numPr>
        <w:tabs>
          <w:tab w:val="clear" w:pos="851"/>
        </w:tabs>
        <w:suppressAutoHyphens/>
        <w:spacing w:after="60"/>
        <w:jc w:val="both"/>
        <w:rPr>
          <w:rFonts w:cs="Calibri"/>
        </w:rPr>
      </w:pPr>
      <w:r>
        <w:t>P</w:t>
      </w:r>
      <w:r w:rsidR="006C7E47">
        <w:t>roduce and disseminate a gender-based statistical overview of the situation</w:t>
      </w:r>
    </w:p>
    <w:p w14:paraId="35BA5C3E" w14:textId="5864DE70" w:rsidR="006C7E47" w:rsidRPr="008D7464" w:rsidRDefault="006D3B8D" w:rsidP="008D7464">
      <w:pPr>
        <w:numPr>
          <w:ilvl w:val="0"/>
          <w:numId w:val="2"/>
        </w:numPr>
        <w:tabs>
          <w:tab w:val="clear" w:pos="851"/>
        </w:tabs>
        <w:suppressAutoHyphens/>
        <w:spacing w:after="60"/>
        <w:jc w:val="both"/>
        <w:rPr>
          <w:rFonts w:cs="Calibri"/>
        </w:rPr>
      </w:pPr>
      <w:r>
        <w:t>O</w:t>
      </w:r>
      <w:r w:rsidR="006C7E47">
        <w:t>rganise awareness-raising activities on gender equality for both female students and staff</w:t>
      </w:r>
    </w:p>
    <w:p w14:paraId="49717F94" w14:textId="5F92ABFA" w:rsidR="006C7E47" w:rsidRPr="008D7464" w:rsidRDefault="006D3B8D" w:rsidP="008D7464">
      <w:pPr>
        <w:numPr>
          <w:ilvl w:val="0"/>
          <w:numId w:val="2"/>
        </w:numPr>
        <w:tabs>
          <w:tab w:val="clear" w:pos="851"/>
        </w:tabs>
        <w:suppressAutoHyphens/>
        <w:spacing w:after="180"/>
        <w:jc w:val="both"/>
        <w:rPr>
          <w:rFonts w:cs="Calibri"/>
        </w:rPr>
      </w:pPr>
      <w:r>
        <w:t>P</w:t>
      </w:r>
      <w:r w:rsidR="006C7E47">
        <w:t>revent all forms of violence and harassment</w:t>
      </w:r>
    </w:p>
    <w:p w14:paraId="22382E6E" w14:textId="77777777" w:rsidR="006C7E47" w:rsidRPr="008D7464" w:rsidRDefault="006C7E47" w:rsidP="008D7464">
      <w:pPr>
        <w:spacing w:after="120"/>
        <w:jc w:val="both"/>
      </w:pPr>
      <w:r>
        <w:t>The terms and conditions for the application of these commitments are proposed in the attached charters, which institutions are invited to absorb and implement.</w:t>
      </w:r>
    </w:p>
    <w:p w14:paraId="6059E762" w14:textId="77777777" w:rsidR="006C7E47" w:rsidRPr="008D7464" w:rsidRDefault="006C7E47" w:rsidP="008D7464">
      <w:pPr>
        <w:spacing w:after="120"/>
        <w:jc w:val="both"/>
      </w:pPr>
      <w:r>
        <w:t>In order to support institutions in this policy, the ministries signing this Charter will provide them with financial and/or human resources.</w:t>
      </w:r>
    </w:p>
    <w:p w14:paraId="740E87FE" w14:textId="77777777" w:rsidR="006C7E47" w:rsidRPr="008D7464" w:rsidRDefault="006C7E47" w:rsidP="008D7464">
      <w:pPr>
        <w:spacing w:after="240"/>
        <w:jc w:val="both"/>
      </w:pPr>
      <w:r>
        <w:t>The gender equality policy will enter into the contractual dialogue of the institutions.</w:t>
      </w:r>
    </w:p>
    <w:p w14:paraId="6C8422F7" w14:textId="77777777" w:rsidR="006C7E47" w:rsidRPr="008D7464" w:rsidRDefault="006C7E47" w:rsidP="008D7464">
      <w:pPr>
        <w:spacing w:after="240"/>
        <w:jc w:val="both"/>
        <w:rPr>
          <w:b/>
          <w:bCs/>
          <w:sz w:val="24"/>
          <w:szCs w:val="28"/>
        </w:rPr>
      </w:pPr>
      <w:r>
        <w:rPr>
          <w:b/>
          <w:bCs/>
          <w:sz w:val="24"/>
          <w:szCs w:val="28"/>
        </w:rPr>
        <w:t xml:space="preserve">SPECIFIC COMMITMENTS AT THE </w:t>
      </w:r>
      <w:proofErr w:type="spellStart"/>
      <w:r>
        <w:rPr>
          <w:b/>
          <w:bCs/>
          <w:sz w:val="24"/>
          <w:szCs w:val="28"/>
        </w:rPr>
        <w:t>CGE</w:t>
      </w:r>
      <w:proofErr w:type="spellEnd"/>
    </w:p>
    <w:p w14:paraId="243E5C23" w14:textId="77777777" w:rsidR="006C7E47" w:rsidRPr="008D7464" w:rsidRDefault="006C7E47" w:rsidP="008D7464">
      <w:pPr>
        <w:spacing w:after="120"/>
        <w:jc w:val="both"/>
      </w:pPr>
      <w:r>
        <w:t xml:space="preserve">As a follow-up to the agreement for the promotion of gender equality signed on 22 March 2005 between the Ministry of Gender Equality and the </w:t>
      </w:r>
      <w:proofErr w:type="spellStart"/>
      <w:r>
        <w:t>Conférence</w:t>
      </w:r>
      <w:proofErr w:type="spellEnd"/>
      <w:r>
        <w:t xml:space="preserve"> des Grandes </w:t>
      </w:r>
      <w:proofErr w:type="spellStart"/>
      <w:r>
        <w:t>Ecoles</w:t>
      </w:r>
      <w:proofErr w:type="spellEnd"/>
      <w:r>
        <w:t xml:space="preserve">, the </w:t>
      </w:r>
      <w:proofErr w:type="spellStart"/>
      <w:r>
        <w:t>CGE</w:t>
      </w:r>
      <w:proofErr w:type="spellEnd"/>
      <w:r>
        <w:t xml:space="preserve"> is proposing a charter setting out the practical terms and conditions for implementation in its member schools. The </w:t>
      </w:r>
      <w:proofErr w:type="spellStart"/>
      <w:r>
        <w:t>CGE</w:t>
      </w:r>
      <w:proofErr w:type="spellEnd"/>
      <w:r>
        <w:t xml:space="preserve"> Gender Equality Charter is aimed at the </w:t>
      </w:r>
      <w:proofErr w:type="spellStart"/>
      <w:r>
        <w:t>grandes</w:t>
      </w:r>
      <w:proofErr w:type="spellEnd"/>
      <w:r>
        <w:t xml:space="preserve"> écoles.</w:t>
      </w:r>
    </w:p>
    <w:p w14:paraId="07616EAE" w14:textId="77777777" w:rsidR="006C7E47" w:rsidRPr="008D7464" w:rsidRDefault="006C7E47" w:rsidP="008D7464">
      <w:pPr>
        <w:spacing w:after="120"/>
        <w:jc w:val="both"/>
      </w:pPr>
      <w:r>
        <w:t xml:space="preserve">It was drafted as part of the work of the </w:t>
      </w:r>
      <w:proofErr w:type="spellStart"/>
      <w:r>
        <w:t>CGE's</w:t>
      </w:r>
      <w:proofErr w:type="spellEnd"/>
      <w:r>
        <w:t xml:space="preserve"> Gender Equality Group. The project is supported by the Ministry of Women's Rights and the Ministry of Higher Education and Research.</w:t>
      </w:r>
    </w:p>
    <w:p w14:paraId="3FDFB305" w14:textId="77777777" w:rsidR="006C7E47" w:rsidRPr="008D7464" w:rsidRDefault="006C7E47" w:rsidP="008D7464">
      <w:pPr>
        <w:spacing w:after="240"/>
        <w:jc w:val="both"/>
      </w:pPr>
      <w:r>
        <w:t>In the educational sphere, it is the duty of higher education institutions to ensure its application, to raise awareness and to educate female students on the principle and implementation of gender equality.</w:t>
      </w:r>
    </w:p>
    <w:p w14:paraId="03E3AE4C" w14:textId="77777777" w:rsidR="006C7E47" w:rsidRPr="008D7464" w:rsidRDefault="006C7E47" w:rsidP="008D7464">
      <w:pPr>
        <w:spacing w:after="180"/>
        <w:jc w:val="both"/>
        <w:rPr>
          <w:b/>
          <w:bCs/>
        </w:rPr>
      </w:pPr>
      <w:r>
        <w:rPr>
          <w:b/>
          <w:bCs/>
        </w:rPr>
        <w:t xml:space="preserve">This is why, through this Charter, the </w:t>
      </w:r>
      <w:proofErr w:type="spellStart"/>
      <w:r>
        <w:rPr>
          <w:b/>
          <w:bCs/>
        </w:rPr>
        <w:t>CGE</w:t>
      </w:r>
      <w:proofErr w:type="spellEnd"/>
      <w:r>
        <w:rPr>
          <w:b/>
          <w:bCs/>
        </w:rPr>
        <w:t xml:space="preserve"> undertakes to act mainly in three areas:</w:t>
      </w:r>
    </w:p>
    <w:p w14:paraId="3A81BFFF" w14:textId="77777777" w:rsidR="008D7464" w:rsidRPr="008D7464" w:rsidRDefault="006C7E47" w:rsidP="008D7464">
      <w:pPr>
        <w:numPr>
          <w:ilvl w:val="0"/>
          <w:numId w:val="3"/>
        </w:numPr>
        <w:suppressAutoHyphens/>
        <w:jc w:val="both"/>
        <w:rPr>
          <w:rFonts w:cs="Calibri"/>
        </w:rPr>
      </w:pPr>
      <w:r>
        <w:t>Encouraging schools to raise awareness of gender equality and gender issues among female students</w:t>
      </w:r>
    </w:p>
    <w:p w14:paraId="7C9100E1" w14:textId="77777777" w:rsidR="006C7E47" w:rsidRPr="008D7464" w:rsidRDefault="006C7E47" w:rsidP="004812DC">
      <w:pPr>
        <w:keepNext/>
        <w:numPr>
          <w:ilvl w:val="0"/>
          <w:numId w:val="3"/>
        </w:numPr>
        <w:suppressAutoHyphens/>
        <w:jc w:val="both"/>
        <w:rPr>
          <w:rFonts w:cs="Calibri"/>
        </w:rPr>
      </w:pPr>
      <w:r>
        <w:lastRenderedPageBreak/>
        <w:t>Implementing gender equality</w:t>
      </w:r>
    </w:p>
    <w:p w14:paraId="47993566" w14:textId="77777777" w:rsidR="008D7464" w:rsidRDefault="006C7E47" w:rsidP="008D7464">
      <w:pPr>
        <w:numPr>
          <w:ilvl w:val="0"/>
          <w:numId w:val="3"/>
        </w:numPr>
        <w:suppressAutoHyphens/>
        <w:jc w:val="both"/>
        <w:rPr>
          <w:rFonts w:cs="Calibri"/>
        </w:rPr>
      </w:pPr>
      <w:r>
        <w:t xml:space="preserve">Developing an upstream policy to make the courses of the </w:t>
      </w:r>
      <w:proofErr w:type="spellStart"/>
      <w:r>
        <w:t>grandes</w:t>
      </w:r>
      <w:proofErr w:type="spellEnd"/>
      <w:r>
        <w:t xml:space="preserve"> écoles more attractive, mainly to young girls and particularly in the fields of science and technology</w:t>
      </w:r>
    </w:p>
    <w:p w14:paraId="61DBA3C8" w14:textId="5BA277AC" w:rsidR="006C7E47" w:rsidRPr="008D7464" w:rsidRDefault="006C7E47" w:rsidP="008D7464">
      <w:pPr>
        <w:spacing w:before="240" w:after="180"/>
      </w:pPr>
      <w:r>
        <w:t>The institution undertakes to:</w:t>
      </w:r>
    </w:p>
    <w:p w14:paraId="42272D29" w14:textId="25CC290F" w:rsidR="006C7E47" w:rsidRPr="008D7464" w:rsidRDefault="006C7E47" w:rsidP="008D7464">
      <w:pPr>
        <w:suppressAutoHyphens/>
        <w:spacing w:after="180"/>
        <w:rPr>
          <w:rFonts w:cs="Calibri"/>
          <w:b/>
          <w:bCs/>
          <w:i/>
          <w:iCs/>
          <w:color w:val="FF0000"/>
        </w:rPr>
      </w:pPr>
      <w:proofErr w:type="spellStart"/>
      <w:r>
        <w:rPr>
          <w:b/>
          <w:bCs/>
          <w:i/>
          <w:iCs/>
          <w:color w:val="FF0000"/>
        </w:rPr>
        <w:t>INSA</w:t>
      </w:r>
      <w:proofErr w:type="spellEnd"/>
      <w:r>
        <w:rPr>
          <w:b/>
          <w:bCs/>
          <w:i/>
          <w:iCs/>
          <w:color w:val="FF0000"/>
        </w:rPr>
        <w:t xml:space="preserve"> Lyon undertakes to:</w:t>
      </w:r>
    </w:p>
    <w:tbl>
      <w:tblPr>
        <w:tblOverlap w:val="never"/>
        <w:tblW w:w="5000" w:type="pct"/>
        <w:jc w:val="center"/>
        <w:tblLayout w:type="fixed"/>
        <w:tblCellMar>
          <w:top w:w="28" w:type="dxa"/>
          <w:left w:w="85" w:type="dxa"/>
          <w:bottom w:w="28" w:type="dxa"/>
          <w:right w:w="85" w:type="dxa"/>
        </w:tblCellMar>
        <w:tblLook w:val="04A0" w:firstRow="1" w:lastRow="0" w:firstColumn="1" w:lastColumn="0" w:noHBand="0" w:noVBand="1"/>
      </w:tblPr>
      <w:tblGrid>
        <w:gridCol w:w="9142"/>
        <w:gridCol w:w="11"/>
        <w:gridCol w:w="4985"/>
        <w:gridCol w:w="10"/>
        <w:gridCol w:w="6"/>
        <w:gridCol w:w="3840"/>
        <w:gridCol w:w="21"/>
        <w:gridCol w:w="3836"/>
      </w:tblGrid>
      <w:tr w:rsidR="008D7464" w:rsidRPr="008D7464" w14:paraId="342BA88C" w14:textId="77777777" w:rsidTr="004812DC">
        <w:trPr>
          <w:trHeight w:val="23"/>
          <w:jc w:val="center"/>
        </w:trPr>
        <w:tc>
          <w:tcPr>
            <w:tcW w:w="21851" w:type="dxa"/>
            <w:gridSpan w:val="8"/>
            <w:tcBorders>
              <w:top w:val="single" w:sz="4" w:space="0" w:color="auto"/>
              <w:left w:val="single" w:sz="4" w:space="0" w:color="auto"/>
              <w:right w:val="single" w:sz="4" w:space="0" w:color="auto"/>
            </w:tcBorders>
            <w:shd w:val="clear" w:color="auto" w:fill="FFFFFF"/>
          </w:tcPr>
          <w:p w14:paraId="6284F8A4" w14:textId="77777777" w:rsidR="008D7464" w:rsidRDefault="006C7E47" w:rsidP="008D7464">
            <w:pPr>
              <w:suppressAutoHyphens/>
              <w:jc w:val="center"/>
              <w:rPr>
                <w:rFonts w:cs="Calibri"/>
                <w:b/>
                <w:bCs/>
                <w:szCs w:val="22"/>
              </w:rPr>
            </w:pPr>
            <w:r>
              <w:rPr>
                <w:b/>
                <w:bCs/>
                <w:szCs w:val="22"/>
              </w:rPr>
              <w:t>CHARTER FOR GENDER EQUALITY IN HIGHER EDUCATION AND RESEARCH INSTITUTIONS</w:t>
            </w:r>
          </w:p>
          <w:p w14:paraId="10CD3B6F" w14:textId="77777777" w:rsidR="008D7464" w:rsidRDefault="006C7E47" w:rsidP="008D7464">
            <w:pPr>
              <w:suppressAutoHyphens/>
              <w:jc w:val="center"/>
              <w:rPr>
                <w:rFonts w:cs="Calibri"/>
                <w:b/>
                <w:bCs/>
                <w:color w:val="FF0000"/>
                <w:szCs w:val="22"/>
              </w:rPr>
            </w:pPr>
            <w:r>
              <w:rPr>
                <w:b/>
                <w:bCs/>
                <w:color w:val="FF0000"/>
                <w:szCs w:val="22"/>
              </w:rPr>
              <w:t xml:space="preserve">Commitments taking into account all gender issues (sex, gender identity, sexual orientation) - </w:t>
            </w:r>
            <w:proofErr w:type="spellStart"/>
            <w:r>
              <w:rPr>
                <w:b/>
                <w:bCs/>
                <w:color w:val="FF0000"/>
                <w:szCs w:val="22"/>
              </w:rPr>
              <w:t>INSA</w:t>
            </w:r>
            <w:proofErr w:type="spellEnd"/>
            <w:r>
              <w:rPr>
                <w:b/>
                <w:bCs/>
                <w:color w:val="FF0000"/>
                <w:szCs w:val="22"/>
              </w:rPr>
              <w:t xml:space="preserve"> Lyon - March 2017</w:t>
            </w:r>
          </w:p>
          <w:p w14:paraId="73FC613F" w14:textId="2C6DDDAD" w:rsidR="006C7E47" w:rsidRPr="008D7464" w:rsidRDefault="006C7E47" w:rsidP="008D7464">
            <w:pPr>
              <w:suppressAutoHyphens/>
              <w:jc w:val="center"/>
              <w:rPr>
                <w:rFonts w:cs="Calibri"/>
                <w:bCs/>
                <w:szCs w:val="22"/>
              </w:rPr>
            </w:pPr>
            <w:r>
              <w:t>(including</w:t>
            </w:r>
            <w:r>
              <w:rPr>
                <w:b/>
                <w:bCs/>
                <w:i/>
                <w:szCs w:val="22"/>
              </w:rPr>
              <w:t xml:space="preserve"> specific references to the </w:t>
            </w:r>
            <w:proofErr w:type="spellStart"/>
            <w:r>
              <w:rPr>
                <w:b/>
                <w:bCs/>
                <w:i/>
                <w:szCs w:val="22"/>
              </w:rPr>
              <w:t>CGE</w:t>
            </w:r>
            <w:proofErr w:type="spellEnd"/>
            <w:r>
              <w:rPr>
                <w:b/>
                <w:bCs/>
                <w:i/>
                <w:szCs w:val="22"/>
              </w:rPr>
              <w:t xml:space="preserve">, </w:t>
            </w:r>
            <w:r>
              <w:rPr>
                <w:b/>
                <w:bCs/>
                <w:i/>
                <w:color w:val="FF0000"/>
                <w:szCs w:val="22"/>
              </w:rPr>
              <w:t xml:space="preserve">specific references to </w:t>
            </w:r>
            <w:proofErr w:type="spellStart"/>
            <w:r>
              <w:rPr>
                <w:b/>
                <w:bCs/>
                <w:i/>
                <w:color w:val="FF0000"/>
                <w:szCs w:val="22"/>
              </w:rPr>
              <w:t>INSA</w:t>
            </w:r>
            <w:proofErr w:type="spellEnd"/>
            <w:r>
              <w:rPr>
                <w:b/>
                <w:bCs/>
                <w:i/>
                <w:color w:val="FF0000"/>
                <w:szCs w:val="22"/>
              </w:rPr>
              <w:t xml:space="preserve">, </w:t>
            </w:r>
            <w:r>
              <w:rPr>
                <w:b/>
                <w:bCs/>
                <w:i/>
                <w:color w:val="00B050"/>
                <w:szCs w:val="22"/>
              </w:rPr>
              <w:t>the plan for gender equality in the digital sector</w:t>
            </w:r>
            <w:r w:rsidRPr="006D3B8D">
              <w:rPr>
                <w:iCs/>
                <w:szCs w:val="22"/>
              </w:rPr>
              <w:t>).</w:t>
            </w:r>
          </w:p>
        </w:tc>
      </w:tr>
      <w:tr w:rsidR="008D7464" w:rsidRPr="008D7464" w14:paraId="5A36BF5F" w14:textId="77777777" w:rsidTr="001C069A">
        <w:trPr>
          <w:trHeight w:val="23"/>
          <w:jc w:val="center"/>
        </w:trPr>
        <w:tc>
          <w:tcPr>
            <w:tcW w:w="14148" w:type="dxa"/>
            <w:gridSpan w:val="4"/>
            <w:tcBorders>
              <w:top w:val="single" w:sz="4" w:space="0" w:color="auto"/>
              <w:left w:val="single" w:sz="4" w:space="0" w:color="auto"/>
            </w:tcBorders>
            <w:shd w:val="clear" w:color="auto" w:fill="F2F2F2"/>
          </w:tcPr>
          <w:p w14:paraId="09EDC3AD" w14:textId="33C175D1" w:rsidR="006C7E47" w:rsidRPr="008D7464" w:rsidRDefault="006C7E47" w:rsidP="008D7464">
            <w:pPr>
              <w:pStyle w:val="Titre1"/>
            </w:pPr>
            <w:r>
              <w:t>GENERAL POLICY OF THE INSTITUTION</w:t>
            </w:r>
          </w:p>
        </w:tc>
        <w:tc>
          <w:tcPr>
            <w:tcW w:w="3867" w:type="dxa"/>
            <w:gridSpan w:val="3"/>
            <w:tcBorders>
              <w:top w:val="single" w:sz="4" w:space="0" w:color="auto"/>
              <w:left w:val="single" w:sz="4" w:space="0" w:color="auto"/>
            </w:tcBorders>
            <w:shd w:val="clear" w:color="auto" w:fill="auto"/>
          </w:tcPr>
          <w:p w14:paraId="01787BE6" w14:textId="77777777" w:rsidR="006C7E47" w:rsidRPr="008D7464" w:rsidRDefault="006C7E47" w:rsidP="008D7464">
            <w:pPr>
              <w:suppressAutoHyphens/>
              <w:rPr>
                <w:rFonts w:cs="Calibri"/>
                <w:szCs w:val="22"/>
              </w:rPr>
            </w:pPr>
          </w:p>
        </w:tc>
        <w:tc>
          <w:tcPr>
            <w:tcW w:w="3836" w:type="dxa"/>
            <w:tcBorders>
              <w:top w:val="single" w:sz="4" w:space="0" w:color="auto"/>
              <w:left w:val="single" w:sz="4" w:space="0" w:color="auto"/>
              <w:right w:val="single" w:sz="4" w:space="0" w:color="auto"/>
            </w:tcBorders>
            <w:shd w:val="clear" w:color="auto" w:fill="auto"/>
          </w:tcPr>
          <w:p w14:paraId="0635D4F0" w14:textId="77777777" w:rsidR="006C7E47" w:rsidRPr="008D7464" w:rsidRDefault="006C7E47" w:rsidP="008D7464">
            <w:pPr>
              <w:suppressAutoHyphens/>
              <w:rPr>
                <w:rFonts w:cs="Calibri"/>
                <w:szCs w:val="22"/>
              </w:rPr>
            </w:pPr>
          </w:p>
        </w:tc>
      </w:tr>
      <w:tr w:rsidR="006C7E47" w:rsidRPr="008D7464" w14:paraId="50A7837B" w14:textId="77777777" w:rsidTr="001C069A">
        <w:trPr>
          <w:trHeight w:val="23"/>
          <w:jc w:val="center"/>
        </w:trPr>
        <w:tc>
          <w:tcPr>
            <w:tcW w:w="9142" w:type="dxa"/>
            <w:tcBorders>
              <w:top w:val="single" w:sz="4" w:space="0" w:color="auto"/>
              <w:left w:val="single" w:sz="4" w:space="0" w:color="auto"/>
            </w:tcBorders>
            <w:shd w:val="clear" w:color="auto" w:fill="FFFFFF"/>
          </w:tcPr>
          <w:p w14:paraId="01589017" w14:textId="77777777" w:rsidR="006C7E47" w:rsidRPr="008D7464" w:rsidRDefault="006C7E47" w:rsidP="008D7464">
            <w:pPr>
              <w:suppressAutoHyphens/>
              <w:rPr>
                <w:rFonts w:cs="Calibri"/>
                <w:szCs w:val="22"/>
              </w:rPr>
            </w:pPr>
          </w:p>
        </w:tc>
        <w:tc>
          <w:tcPr>
            <w:tcW w:w="5006" w:type="dxa"/>
            <w:gridSpan w:val="3"/>
            <w:tcBorders>
              <w:top w:val="single" w:sz="4" w:space="0" w:color="auto"/>
              <w:left w:val="single" w:sz="4" w:space="0" w:color="auto"/>
            </w:tcBorders>
            <w:shd w:val="clear" w:color="auto" w:fill="FFFFFF"/>
          </w:tcPr>
          <w:p w14:paraId="3D9C7E26" w14:textId="77777777" w:rsidR="006C7E47" w:rsidRPr="008D7464" w:rsidRDefault="006C7E47" w:rsidP="008D7464">
            <w:pPr>
              <w:suppressAutoHyphens/>
              <w:jc w:val="center"/>
              <w:rPr>
                <w:rFonts w:cs="Calibri"/>
                <w:b/>
                <w:bCs/>
                <w:szCs w:val="22"/>
              </w:rPr>
            </w:pPr>
            <w:proofErr w:type="spellStart"/>
            <w:r>
              <w:rPr>
                <w:b/>
                <w:bCs/>
                <w:szCs w:val="22"/>
              </w:rPr>
              <w:t>INSTITUT</w:t>
            </w:r>
            <w:proofErr w:type="spellEnd"/>
            <w:r>
              <w:rPr>
                <w:b/>
                <w:bCs/>
                <w:szCs w:val="22"/>
              </w:rPr>
              <w:t xml:space="preserve"> GASTON BERGER</w:t>
            </w:r>
          </w:p>
        </w:tc>
        <w:tc>
          <w:tcPr>
            <w:tcW w:w="3867" w:type="dxa"/>
            <w:gridSpan w:val="3"/>
            <w:tcBorders>
              <w:top w:val="single" w:sz="4" w:space="0" w:color="auto"/>
              <w:left w:val="single" w:sz="4" w:space="0" w:color="auto"/>
            </w:tcBorders>
            <w:shd w:val="clear" w:color="auto" w:fill="FFFFFF"/>
          </w:tcPr>
          <w:p w14:paraId="37A04FB3" w14:textId="77777777" w:rsidR="006C7E47" w:rsidRPr="008D7464" w:rsidRDefault="006C7E47" w:rsidP="008D7464">
            <w:pPr>
              <w:suppressAutoHyphens/>
              <w:jc w:val="center"/>
              <w:rPr>
                <w:rFonts w:cs="Calibri"/>
                <w:b/>
                <w:bCs/>
                <w:szCs w:val="22"/>
              </w:rPr>
            </w:pPr>
            <w:proofErr w:type="spellStart"/>
            <w:r>
              <w:rPr>
                <w:b/>
                <w:bCs/>
                <w:szCs w:val="22"/>
              </w:rPr>
              <w:t>INSTITUT</w:t>
            </w:r>
            <w:proofErr w:type="spellEnd"/>
            <w:r>
              <w:rPr>
                <w:b/>
                <w:bCs/>
                <w:szCs w:val="22"/>
              </w:rPr>
              <w:t xml:space="preserve"> GASTON BERGER PROJECTS</w:t>
            </w:r>
          </w:p>
        </w:tc>
        <w:tc>
          <w:tcPr>
            <w:tcW w:w="3836" w:type="dxa"/>
            <w:tcBorders>
              <w:top w:val="single" w:sz="4" w:space="0" w:color="auto"/>
              <w:left w:val="single" w:sz="4" w:space="0" w:color="auto"/>
              <w:right w:val="single" w:sz="4" w:space="0" w:color="auto"/>
            </w:tcBorders>
            <w:shd w:val="clear" w:color="auto" w:fill="FFFFFF"/>
          </w:tcPr>
          <w:p w14:paraId="1C1E4771" w14:textId="77777777" w:rsidR="006C7E47" w:rsidRPr="008D7464" w:rsidRDefault="006C7E47" w:rsidP="008D7464">
            <w:pPr>
              <w:suppressAutoHyphens/>
              <w:jc w:val="center"/>
              <w:rPr>
                <w:rFonts w:cs="Calibri"/>
                <w:b/>
                <w:bCs/>
                <w:szCs w:val="22"/>
              </w:rPr>
            </w:pPr>
            <w:proofErr w:type="spellStart"/>
            <w:r>
              <w:rPr>
                <w:b/>
                <w:bCs/>
                <w:szCs w:val="22"/>
              </w:rPr>
              <w:t>INSA</w:t>
            </w:r>
            <w:proofErr w:type="spellEnd"/>
            <w:r>
              <w:rPr>
                <w:b/>
                <w:bCs/>
                <w:szCs w:val="22"/>
              </w:rPr>
              <w:t xml:space="preserve"> POLICY - HR</w:t>
            </w:r>
          </w:p>
        </w:tc>
      </w:tr>
      <w:tr w:rsidR="006C7E47" w:rsidRPr="008D7464" w14:paraId="6F0D57AF" w14:textId="77777777" w:rsidTr="001C069A">
        <w:trPr>
          <w:trHeight w:val="23"/>
          <w:jc w:val="center"/>
        </w:trPr>
        <w:tc>
          <w:tcPr>
            <w:tcW w:w="9142" w:type="dxa"/>
            <w:tcBorders>
              <w:top w:val="single" w:sz="4" w:space="0" w:color="auto"/>
              <w:left w:val="single" w:sz="4" w:space="0" w:color="auto"/>
            </w:tcBorders>
            <w:shd w:val="clear" w:color="auto" w:fill="F2F2F2"/>
          </w:tcPr>
          <w:p w14:paraId="456BDFD3" w14:textId="5789D3A0" w:rsidR="006C7E47" w:rsidRPr="008D7464" w:rsidRDefault="006C7E47" w:rsidP="004812DC">
            <w:pPr>
              <w:pStyle w:val="Titre2"/>
              <w:spacing w:before="240"/>
            </w:pPr>
            <w:r>
              <w:t>Mainstream the gender equality dimension in all of the institution's projects. It is also committed to ensuring mutual respect between the sexes, and combating stereotypes and discrimination</w:t>
            </w:r>
          </w:p>
        </w:tc>
        <w:tc>
          <w:tcPr>
            <w:tcW w:w="5006" w:type="dxa"/>
            <w:gridSpan w:val="3"/>
            <w:tcBorders>
              <w:top w:val="single" w:sz="4" w:space="0" w:color="auto"/>
              <w:left w:val="single" w:sz="4" w:space="0" w:color="auto"/>
            </w:tcBorders>
            <w:shd w:val="clear" w:color="auto" w:fill="FFFFFF"/>
          </w:tcPr>
          <w:p w14:paraId="567668D5" w14:textId="77777777" w:rsidR="006C7E47" w:rsidRPr="008D7464" w:rsidRDefault="006C7E47" w:rsidP="004812DC">
            <w:pPr>
              <w:suppressAutoHyphens/>
              <w:spacing w:after="240"/>
              <w:jc w:val="both"/>
              <w:rPr>
                <w:rFonts w:cs="Calibri"/>
                <w:color w:val="0070C0"/>
                <w:szCs w:val="22"/>
              </w:rPr>
            </w:pPr>
            <w:r>
              <w:rPr>
                <w:color w:val="0070C0"/>
                <w:szCs w:val="22"/>
              </w:rPr>
              <w:t xml:space="preserve">In 2016, the </w:t>
            </w:r>
            <w:proofErr w:type="spellStart"/>
            <w:r>
              <w:rPr>
                <w:color w:val="0070C0"/>
                <w:szCs w:val="22"/>
              </w:rPr>
              <w:t>CDEFI</w:t>
            </w:r>
            <w:proofErr w:type="spellEnd"/>
            <w:r>
              <w:rPr>
                <w:color w:val="0070C0"/>
                <w:szCs w:val="22"/>
              </w:rPr>
              <w:t xml:space="preserve"> won the ‘</w:t>
            </w:r>
            <w:proofErr w:type="spellStart"/>
            <w:r>
              <w:rPr>
                <w:color w:val="0070C0"/>
                <w:szCs w:val="22"/>
              </w:rPr>
              <w:t>Ingénieuses</w:t>
            </w:r>
            <w:proofErr w:type="spellEnd"/>
            <w:r>
              <w:rPr>
                <w:color w:val="0070C0"/>
                <w:szCs w:val="22"/>
              </w:rPr>
              <w:t xml:space="preserve">’ </w:t>
            </w:r>
            <w:r>
              <w:rPr>
                <w:b/>
                <w:color w:val="0070C0"/>
                <w:szCs w:val="22"/>
              </w:rPr>
              <w:t>award for the school with the highest level of commitment</w:t>
            </w:r>
            <w:r>
              <w:rPr>
                <w:color w:val="0070C0"/>
                <w:szCs w:val="22"/>
              </w:rPr>
              <w:t>.</w:t>
            </w:r>
          </w:p>
          <w:p w14:paraId="17A0A2A6" w14:textId="77777777" w:rsidR="006C7E47" w:rsidRPr="008D7464" w:rsidRDefault="006C7E47" w:rsidP="004812DC">
            <w:pPr>
              <w:suppressAutoHyphens/>
              <w:spacing w:after="240"/>
              <w:jc w:val="both"/>
              <w:rPr>
                <w:rFonts w:cs="Calibri"/>
                <w:color w:val="0070C0"/>
                <w:szCs w:val="22"/>
              </w:rPr>
            </w:pPr>
            <w:r>
              <w:rPr>
                <w:color w:val="0070C0"/>
                <w:szCs w:val="22"/>
              </w:rPr>
              <w:t xml:space="preserve">Symbolic action </w:t>
            </w:r>
            <w:r>
              <w:rPr>
                <w:b/>
                <w:color w:val="0070C0"/>
                <w:szCs w:val="22"/>
              </w:rPr>
              <w:t xml:space="preserve">by the </w:t>
            </w:r>
            <w:proofErr w:type="spellStart"/>
            <w:r>
              <w:rPr>
                <w:b/>
                <w:color w:val="0070C0"/>
                <w:szCs w:val="22"/>
              </w:rPr>
              <w:t>Institut</w:t>
            </w:r>
            <w:proofErr w:type="spellEnd"/>
            <w:r>
              <w:rPr>
                <w:b/>
                <w:color w:val="0070C0"/>
                <w:szCs w:val="22"/>
              </w:rPr>
              <w:t xml:space="preserve"> Gaston Berger on 8 March 2017: </w:t>
            </w:r>
            <w:r>
              <w:rPr>
                <w:color w:val="0070C0"/>
                <w:szCs w:val="22"/>
              </w:rPr>
              <w:t>let’s give women back their place.</w:t>
            </w:r>
          </w:p>
        </w:tc>
        <w:tc>
          <w:tcPr>
            <w:tcW w:w="3867" w:type="dxa"/>
            <w:gridSpan w:val="3"/>
            <w:tcBorders>
              <w:top w:val="single" w:sz="4" w:space="0" w:color="auto"/>
              <w:left w:val="single" w:sz="4" w:space="0" w:color="auto"/>
            </w:tcBorders>
            <w:shd w:val="clear" w:color="auto" w:fill="FFFFFF"/>
          </w:tcPr>
          <w:p w14:paraId="088C8A08" w14:textId="77777777" w:rsidR="006C7E47" w:rsidRPr="008D7464" w:rsidRDefault="006C7E47" w:rsidP="004812DC">
            <w:pPr>
              <w:suppressAutoHyphens/>
              <w:jc w:val="both"/>
              <w:rPr>
                <w:rFonts w:cs="Calibri"/>
                <w:szCs w:val="22"/>
              </w:rPr>
            </w:pPr>
          </w:p>
        </w:tc>
        <w:tc>
          <w:tcPr>
            <w:tcW w:w="3836" w:type="dxa"/>
            <w:tcBorders>
              <w:top w:val="single" w:sz="4" w:space="0" w:color="auto"/>
              <w:left w:val="single" w:sz="4" w:space="0" w:color="auto"/>
              <w:right w:val="single" w:sz="4" w:space="0" w:color="auto"/>
            </w:tcBorders>
            <w:shd w:val="clear" w:color="auto" w:fill="FFFFFF"/>
          </w:tcPr>
          <w:p w14:paraId="12981293" w14:textId="77777777" w:rsidR="006C7E47" w:rsidRPr="008D7464" w:rsidRDefault="006C7E47" w:rsidP="004812DC">
            <w:pPr>
              <w:suppressAutoHyphens/>
              <w:jc w:val="both"/>
              <w:rPr>
                <w:rFonts w:cs="Calibri"/>
                <w:szCs w:val="22"/>
              </w:rPr>
            </w:pPr>
            <w:r>
              <w:t xml:space="preserve">Undertakes to rename half of the buildings belonging to </w:t>
            </w:r>
            <w:proofErr w:type="spellStart"/>
            <w:r>
              <w:t>INSA</w:t>
            </w:r>
            <w:proofErr w:type="spellEnd"/>
            <w:r>
              <w:t xml:space="preserve"> on the Lyon Tech la </w:t>
            </w:r>
            <w:proofErr w:type="spellStart"/>
            <w:r>
              <w:t>Doua</w:t>
            </w:r>
            <w:proofErr w:type="spellEnd"/>
            <w:r>
              <w:t xml:space="preserve"> campus, replacing the names of men with the names of famous female scientists in specialist fields</w:t>
            </w:r>
          </w:p>
        </w:tc>
      </w:tr>
      <w:tr w:rsidR="006C7E47" w:rsidRPr="008D7464" w14:paraId="4AFE48EA" w14:textId="77777777" w:rsidTr="001C069A">
        <w:trPr>
          <w:trHeight w:val="23"/>
          <w:jc w:val="center"/>
        </w:trPr>
        <w:tc>
          <w:tcPr>
            <w:tcW w:w="9142" w:type="dxa"/>
            <w:tcBorders>
              <w:top w:val="single" w:sz="4" w:space="0" w:color="auto"/>
              <w:left w:val="single" w:sz="4" w:space="0" w:color="auto"/>
            </w:tcBorders>
            <w:shd w:val="clear" w:color="auto" w:fill="F2F2F2"/>
          </w:tcPr>
          <w:p w14:paraId="6DE9BCF2" w14:textId="2428B874" w:rsidR="006C7E47" w:rsidRPr="008D7464" w:rsidRDefault="006C7E47" w:rsidP="004812DC">
            <w:pPr>
              <w:pStyle w:val="Titre2"/>
            </w:pPr>
            <w:r>
              <w:t>Draft administrative documents and texts with wording that does not discriminate against either sex.</w:t>
            </w:r>
          </w:p>
        </w:tc>
        <w:tc>
          <w:tcPr>
            <w:tcW w:w="5006" w:type="dxa"/>
            <w:gridSpan w:val="3"/>
            <w:tcBorders>
              <w:top w:val="single" w:sz="4" w:space="0" w:color="auto"/>
              <w:left w:val="single" w:sz="4" w:space="0" w:color="auto"/>
            </w:tcBorders>
            <w:shd w:val="clear" w:color="auto" w:fill="FFFFFF"/>
          </w:tcPr>
          <w:p w14:paraId="3B02912A" w14:textId="77777777" w:rsidR="006C7E47" w:rsidRPr="008D7464" w:rsidRDefault="006C7E47" w:rsidP="004812DC">
            <w:pPr>
              <w:suppressAutoHyphens/>
              <w:jc w:val="both"/>
              <w:rPr>
                <w:rFonts w:cs="Calibri"/>
                <w:color w:val="0070C0"/>
                <w:szCs w:val="22"/>
              </w:rPr>
            </w:pPr>
            <w:r>
              <w:rPr>
                <w:color w:val="0070C0"/>
                <w:szCs w:val="22"/>
              </w:rPr>
              <w:t xml:space="preserve">Provision of good practice and resources on the </w:t>
            </w:r>
            <w:proofErr w:type="spellStart"/>
            <w:r>
              <w:rPr>
                <w:color w:val="0070C0"/>
                <w:szCs w:val="22"/>
              </w:rPr>
              <w:t>IGB</w:t>
            </w:r>
            <w:proofErr w:type="spellEnd"/>
            <w:r>
              <w:rPr>
                <w:color w:val="0070C0"/>
                <w:szCs w:val="22"/>
              </w:rPr>
              <w:t xml:space="preserve"> website, including methods to ensure inclusive use of writing and language.</w:t>
            </w:r>
          </w:p>
        </w:tc>
        <w:tc>
          <w:tcPr>
            <w:tcW w:w="3867" w:type="dxa"/>
            <w:gridSpan w:val="3"/>
            <w:tcBorders>
              <w:top w:val="single" w:sz="4" w:space="0" w:color="auto"/>
              <w:left w:val="single" w:sz="4" w:space="0" w:color="auto"/>
            </w:tcBorders>
            <w:shd w:val="clear" w:color="auto" w:fill="FFFFFF"/>
          </w:tcPr>
          <w:p w14:paraId="6C87DED5" w14:textId="77777777" w:rsidR="006C7E47" w:rsidRPr="008D7464" w:rsidRDefault="006C7E47" w:rsidP="004812DC">
            <w:pPr>
              <w:suppressAutoHyphens/>
              <w:jc w:val="both"/>
              <w:rPr>
                <w:rFonts w:cs="Calibri"/>
                <w:szCs w:val="22"/>
              </w:rPr>
            </w:pPr>
          </w:p>
        </w:tc>
        <w:tc>
          <w:tcPr>
            <w:tcW w:w="3836" w:type="dxa"/>
            <w:tcBorders>
              <w:top w:val="single" w:sz="4" w:space="0" w:color="auto"/>
              <w:left w:val="single" w:sz="4" w:space="0" w:color="auto"/>
              <w:right w:val="single" w:sz="4" w:space="0" w:color="auto"/>
            </w:tcBorders>
            <w:shd w:val="clear" w:color="auto" w:fill="FFFFFF"/>
          </w:tcPr>
          <w:p w14:paraId="337C84C5" w14:textId="77777777" w:rsidR="006C7E47" w:rsidRPr="008D7464" w:rsidRDefault="006C7E47" w:rsidP="004812DC">
            <w:pPr>
              <w:suppressAutoHyphens/>
              <w:jc w:val="both"/>
              <w:rPr>
                <w:rFonts w:cs="Calibri"/>
                <w:szCs w:val="22"/>
              </w:rPr>
            </w:pPr>
            <w:r>
              <w:t>To-do list</w:t>
            </w:r>
          </w:p>
        </w:tc>
      </w:tr>
      <w:tr w:rsidR="006C7E47" w:rsidRPr="008D7464" w14:paraId="03AF9C4F" w14:textId="77777777" w:rsidTr="001C069A">
        <w:trPr>
          <w:trHeight w:val="23"/>
          <w:jc w:val="center"/>
        </w:trPr>
        <w:tc>
          <w:tcPr>
            <w:tcW w:w="9142" w:type="dxa"/>
            <w:tcBorders>
              <w:top w:val="single" w:sz="4" w:space="0" w:color="auto"/>
              <w:left w:val="single" w:sz="4" w:space="0" w:color="auto"/>
            </w:tcBorders>
            <w:shd w:val="clear" w:color="auto" w:fill="F2F2F2"/>
          </w:tcPr>
          <w:p w14:paraId="18402090" w14:textId="0F9EED30" w:rsidR="006C7E47" w:rsidRPr="008D7464" w:rsidRDefault="006C7E47" w:rsidP="004812DC">
            <w:pPr>
              <w:pStyle w:val="Titre2"/>
            </w:pPr>
            <w:r>
              <w:t>Publish an annual gender-based statistical overview of all aspects of the life of the institution and organise discussion on this data.</w:t>
            </w:r>
          </w:p>
          <w:p w14:paraId="01B917F3" w14:textId="77777777" w:rsidR="004812DC" w:rsidRDefault="006C7E47" w:rsidP="004812DC">
            <w:pPr>
              <w:suppressAutoHyphens/>
              <w:spacing w:before="240"/>
              <w:jc w:val="both"/>
              <w:rPr>
                <w:rFonts w:cs="Calibri"/>
                <w:bCs/>
                <w:iCs/>
                <w:szCs w:val="22"/>
              </w:rPr>
            </w:pPr>
            <w:r>
              <w:rPr>
                <w:b/>
                <w:bCs/>
                <w:i/>
                <w:iCs/>
                <w:szCs w:val="22"/>
              </w:rPr>
              <w:t xml:space="preserve">Specific reference to the </w:t>
            </w:r>
            <w:proofErr w:type="spellStart"/>
            <w:r>
              <w:rPr>
                <w:b/>
                <w:bCs/>
                <w:i/>
                <w:iCs/>
                <w:szCs w:val="22"/>
              </w:rPr>
              <w:t>CGE</w:t>
            </w:r>
            <w:proofErr w:type="spellEnd"/>
            <w:r>
              <w:rPr>
                <w:b/>
                <w:bCs/>
                <w:i/>
                <w:iCs/>
                <w:szCs w:val="22"/>
              </w:rPr>
              <w:t>:</w:t>
            </w:r>
            <w:r>
              <w:t xml:space="preserve"> Carry out a regular gender-based statistical overview (at least every 2 years) and provide information on the following indicators:</w:t>
            </w:r>
          </w:p>
          <w:p w14:paraId="6F2DE8D6" w14:textId="7883BD13" w:rsidR="006C7E47" w:rsidRPr="004812DC" w:rsidRDefault="006C7E47" w:rsidP="004812DC">
            <w:pPr>
              <w:pStyle w:val="Paragraphedeliste"/>
              <w:numPr>
                <w:ilvl w:val="0"/>
                <w:numId w:val="10"/>
              </w:numPr>
              <w:suppressAutoHyphens/>
              <w:jc w:val="both"/>
              <w:rPr>
                <w:rFonts w:cs="Calibri"/>
                <w:szCs w:val="22"/>
              </w:rPr>
            </w:pPr>
            <w:r>
              <w:t>Percentage of women and men: staff and students</w:t>
            </w:r>
          </w:p>
          <w:p w14:paraId="7358318B" w14:textId="1B66942F" w:rsidR="004812DC" w:rsidRPr="004812DC" w:rsidRDefault="006C7E47" w:rsidP="004812DC">
            <w:pPr>
              <w:pStyle w:val="Paragraphedeliste"/>
              <w:numPr>
                <w:ilvl w:val="0"/>
                <w:numId w:val="10"/>
              </w:numPr>
              <w:suppressAutoHyphens/>
              <w:jc w:val="both"/>
              <w:rPr>
                <w:rFonts w:cs="Calibri"/>
                <w:szCs w:val="22"/>
              </w:rPr>
            </w:pPr>
            <w:r>
              <w:t xml:space="preserve">Breakdown by category: administrative and technical staff, lecturers, researchers, managers, executives and </w:t>
            </w:r>
            <w:r>
              <w:rPr>
                <w:b/>
                <w:i/>
                <w:color w:val="C00000"/>
                <w:szCs w:val="22"/>
              </w:rPr>
              <w:t>administrators</w:t>
            </w:r>
          </w:p>
          <w:p w14:paraId="4F4A403E" w14:textId="7F3E7DA1" w:rsidR="006C7E47" w:rsidRPr="004812DC" w:rsidRDefault="006C7E47" w:rsidP="004812DC">
            <w:pPr>
              <w:pStyle w:val="Paragraphedeliste"/>
              <w:numPr>
                <w:ilvl w:val="0"/>
                <w:numId w:val="10"/>
              </w:numPr>
              <w:suppressAutoHyphens/>
              <w:jc w:val="both"/>
              <w:rPr>
                <w:rFonts w:cs="Calibri"/>
                <w:szCs w:val="22"/>
              </w:rPr>
            </w:pPr>
            <w:r>
              <w:t>Staff recruited during the year</w:t>
            </w:r>
          </w:p>
          <w:p w14:paraId="0A530711" w14:textId="77777777" w:rsidR="004812DC" w:rsidRDefault="006C7E47" w:rsidP="004812DC">
            <w:pPr>
              <w:pStyle w:val="Paragraphedeliste"/>
              <w:numPr>
                <w:ilvl w:val="0"/>
                <w:numId w:val="10"/>
              </w:numPr>
              <w:suppressAutoHyphens/>
              <w:jc w:val="both"/>
              <w:rPr>
                <w:rFonts w:cs="Calibri"/>
                <w:szCs w:val="22"/>
              </w:rPr>
            </w:pPr>
            <w:r>
              <w:t>Average female/male salary by category (including bonuses)</w:t>
            </w:r>
          </w:p>
          <w:p w14:paraId="6E8F76F1" w14:textId="76FE6950" w:rsidR="006C7E47" w:rsidRPr="004812DC" w:rsidRDefault="006C7E47" w:rsidP="004812DC">
            <w:pPr>
              <w:pStyle w:val="Paragraphedeliste"/>
              <w:numPr>
                <w:ilvl w:val="0"/>
                <w:numId w:val="10"/>
              </w:numPr>
              <w:suppressAutoHyphens/>
              <w:jc w:val="both"/>
              <w:rPr>
                <w:rFonts w:cs="Calibri"/>
                <w:szCs w:val="22"/>
              </w:rPr>
            </w:pPr>
            <w:r>
              <w:t>Promotion by category (salary increase, change of position)</w:t>
            </w:r>
          </w:p>
        </w:tc>
        <w:tc>
          <w:tcPr>
            <w:tcW w:w="5006" w:type="dxa"/>
            <w:gridSpan w:val="3"/>
            <w:tcBorders>
              <w:top w:val="single" w:sz="4" w:space="0" w:color="auto"/>
              <w:left w:val="single" w:sz="4" w:space="0" w:color="auto"/>
            </w:tcBorders>
            <w:shd w:val="clear" w:color="auto" w:fill="FFFFFF"/>
          </w:tcPr>
          <w:p w14:paraId="10D2F563" w14:textId="77777777" w:rsidR="006C7E47" w:rsidRPr="008D7464" w:rsidRDefault="006C7E47" w:rsidP="004812DC">
            <w:pPr>
              <w:suppressAutoHyphens/>
              <w:jc w:val="both"/>
              <w:rPr>
                <w:rFonts w:cs="Calibri"/>
                <w:szCs w:val="22"/>
              </w:rPr>
            </w:pPr>
          </w:p>
        </w:tc>
        <w:tc>
          <w:tcPr>
            <w:tcW w:w="3867" w:type="dxa"/>
            <w:gridSpan w:val="3"/>
            <w:tcBorders>
              <w:top w:val="single" w:sz="4" w:space="0" w:color="auto"/>
              <w:left w:val="single" w:sz="4" w:space="0" w:color="auto"/>
            </w:tcBorders>
            <w:shd w:val="clear" w:color="auto" w:fill="FFFFFF"/>
          </w:tcPr>
          <w:p w14:paraId="081C97EE" w14:textId="77777777" w:rsidR="006C7E47" w:rsidRPr="008D7464" w:rsidRDefault="006C7E47" w:rsidP="004812DC">
            <w:pPr>
              <w:suppressAutoHyphens/>
              <w:jc w:val="both"/>
              <w:rPr>
                <w:rFonts w:cs="Calibri"/>
                <w:szCs w:val="22"/>
              </w:rPr>
            </w:pPr>
          </w:p>
        </w:tc>
        <w:tc>
          <w:tcPr>
            <w:tcW w:w="3836" w:type="dxa"/>
            <w:tcBorders>
              <w:top w:val="single" w:sz="4" w:space="0" w:color="auto"/>
              <w:left w:val="single" w:sz="4" w:space="0" w:color="auto"/>
              <w:right w:val="single" w:sz="4" w:space="0" w:color="auto"/>
            </w:tcBorders>
            <w:shd w:val="clear" w:color="auto" w:fill="FFFFFF"/>
          </w:tcPr>
          <w:p w14:paraId="4BFD4B72" w14:textId="77777777" w:rsidR="006C7E47" w:rsidRPr="008D7464" w:rsidRDefault="006C7E47" w:rsidP="004812DC">
            <w:pPr>
              <w:suppressAutoHyphens/>
              <w:jc w:val="both"/>
              <w:rPr>
                <w:rFonts w:cs="Calibri"/>
                <w:szCs w:val="22"/>
              </w:rPr>
            </w:pPr>
            <w:r>
              <w:t>The social review includes gendered data.</w:t>
            </w:r>
          </w:p>
          <w:p w14:paraId="4F4420EA" w14:textId="77777777" w:rsidR="006C7E47" w:rsidRPr="008D7464" w:rsidRDefault="006C7E47" w:rsidP="004812DC">
            <w:pPr>
              <w:suppressAutoHyphens/>
              <w:jc w:val="both"/>
              <w:rPr>
                <w:rFonts w:cs="Calibri"/>
                <w:szCs w:val="22"/>
              </w:rPr>
            </w:pPr>
            <w:proofErr w:type="spellStart"/>
            <w:r>
              <w:t>INSA</w:t>
            </w:r>
            <w:proofErr w:type="spellEnd"/>
            <w:r>
              <w:t xml:space="preserve"> undertakes to analyse this data in detail and to produce comparative studies to provide a forum for discussion and decision-making on this analysis.</w:t>
            </w:r>
          </w:p>
        </w:tc>
      </w:tr>
      <w:tr w:rsidR="006C7E47" w:rsidRPr="008D7464" w14:paraId="11D9DD6D" w14:textId="77777777" w:rsidTr="001C069A">
        <w:trPr>
          <w:trHeight w:val="23"/>
          <w:jc w:val="center"/>
        </w:trPr>
        <w:tc>
          <w:tcPr>
            <w:tcW w:w="9142" w:type="dxa"/>
            <w:tcBorders>
              <w:top w:val="single" w:sz="4" w:space="0" w:color="auto"/>
              <w:left w:val="single" w:sz="4" w:space="0" w:color="auto"/>
            </w:tcBorders>
            <w:shd w:val="clear" w:color="auto" w:fill="F2F2F2"/>
            <w:vAlign w:val="bottom"/>
          </w:tcPr>
          <w:p w14:paraId="030C3A60" w14:textId="2953FFE0" w:rsidR="006C7E47" w:rsidRPr="008D7464" w:rsidRDefault="006C7E47" w:rsidP="004812DC">
            <w:pPr>
              <w:pStyle w:val="Titre2"/>
            </w:pPr>
            <w:r>
              <w:t>Organise awareness-raising seminars on gender equality issues.</w:t>
            </w:r>
          </w:p>
        </w:tc>
        <w:tc>
          <w:tcPr>
            <w:tcW w:w="5006" w:type="dxa"/>
            <w:gridSpan w:val="3"/>
            <w:tcBorders>
              <w:top w:val="single" w:sz="4" w:space="0" w:color="auto"/>
              <w:left w:val="single" w:sz="4" w:space="0" w:color="auto"/>
            </w:tcBorders>
            <w:shd w:val="clear" w:color="auto" w:fill="FFFFFF"/>
          </w:tcPr>
          <w:p w14:paraId="072826C8" w14:textId="77777777" w:rsidR="006C7E47" w:rsidRPr="008D7464" w:rsidRDefault="006C7E47" w:rsidP="004812DC">
            <w:pPr>
              <w:suppressAutoHyphens/>
              <w:jc w:val="both"/>
              <w:rPr>
                <w:rFonts w:cs="Calibri"/>
                <w:color w:val="0070C0"/>
                <w:szCs w:val="22"/>
              </w:rPr>
            </w:pPr>
            <w:r>
              <w:rPr>
                <w:color w:val="0070C0"/>
                <w:szCs w:val="22"/>
              </w:rPr>
              <w:t xml:space="preserve">Regularly organises conferences open to all on this subject and has for 2 years organised </w:t>
            </w:r>
            <w:r>
              <w:rPr>
                <w:b/>
                <w:i/>
                <w:color w:val="0070C0"/>
                <w:szCs w:val="22"/>
              </w:rPr>
              <w:t>diversity meetings</w:t>
            </w:r>
            <w:r>
              <w:rPr>
                <w:color w:val="0070C0"/>
                <w:szCs w:val="22"/>
              </w:rPr>
              <w:t xml:space="preserve"> in the staff building.</w:t>
            </w:r>
          </w:p>
        </w:tc>
        <w:tc>
          <w:tcPr>
            <w:tcW w:w="3867" w:type="dxa"/>
            <w:gridSpan w:val="3"/>
            <w:tcBorders>
              <w:top w:val="single" w:sz="4" w:space="0" w:color="auto"/>
              <w:left w:val="single" w:sz="4" w:space="0" w:color="auto"/>
            </w:tcBorders>
            <w:shd w:val="clear" w:color="auto" w:fill="FFFFFF"/>
          </w:tcPr>
          <w:p w14:paraId="2A647916" w14:textId="77777777" w:rsidR="006C7E47" w:rsidRPr="008D7464" w:rsidRDefault="006C7E47" w:rsidP="004812DC">
            <w:pPr>
              <w:suppressAutoHyphens/>
              <w:jc w:val="both"/>
              <w:rPr>
                <w:rFonts w:cs="Calibri"/>
                <w:color w:val="0070C0"/>
                <w:szCs w:val="22"/>
              </w:rPr>
            </w:pPr>
            <w:r>
              <w:rPr>
                <w:color w:val="0070C0"/>
                <w:szCs w:val="22"/>
              </w:rPr>
              <w:t>Gender equality training scheme</w:t>
            </w:r>
          </w:p>
        </w:tc>
        <w:tc>
          <w:tcPr>
            <w:tcW w:w="3836" w:type="dxa"/>
            <w:tcBorders>
              <w:top w:val="single" w:sz="4" w:space="0" w:color="auto"/>
              <w:left w:val="single" w:sz="4" w:space="0" w:color="auto"/>
              <w:right w:val="single" w:sz="4" w:space="0" w:color="auto"/>
            </w:tcBorders>
            <w:shd w:val="clear" w:color="auto" w:fill="FFFFFF"/>
          </w:tcPr>
          <w:p w14:paraId="6B8614D3" w14:textId="77777777" w:rsidR="006C7E47" w:rsidRPr="008D7464" w:rsidRDefault="006C7E47" w:rsidP="004812DC">
            <w:pPr>
              <w:suppressAutoHyphens/>
              <w:jc w:val="both"/>
              <w:rPr>
                <w:rFonts w:cs="Calibri"/>
                <w:szCs w:val="22"/>
              </w:rPr>
            </w:pPr>
            <w:r>
              <w:t>Mandatory to-do list for women leaders</w:t>
            </w:r>
          </w:p>
        </w:tc>
      </w:tr>
      <w:tr w:rsidR="006C7E47" w:rsidRPr="008D7464" w14:paraId="3B811E16" w14:textId="77777777" w:rsidTr="001C069A">
        <w:trPr>
          <w:trHeight w:val="23"/>
          <w:jc w:val="center"/>
        </w:trPr>
        <w:tc>
          <w:tcPr>
            <w:tcW w:w="9142" w:type="dxa"/>
            <w:tcBorders>
              <w:top w:val="single" w:sz="4" w:space="0" w:color="auto"/>
              <w:left w:val="single" w:sz="4" w:space="0" w:color="auto"/>
            </w:tcBorders>
            <w:shd w:val="clear" w:color="auto" w:fill="F2F2F2"/>
          </w:tcPr>
          <w:p w14:paraId="6E1056B7" w14:textId="482BD987" w:rsidR="006C7E47" w:rsidRPr="008D7464" w:rsidRDefault="006C7E47" w:rsidP="004812DC">
            <w:pPr>
              <w:pStyle w:val="Titre2"/>
            </w:pPr>
            <w:r>
              <w:t>Provide staff with documentary sources on gender equality issues.</w:t>
            </w:r>
          </w:p>
        </w:tc>
        <w:tc>
          <w:tcPr>
            <w:tcW w:w="5006" w:type="dxa"/>
            <w:gridSpan w:val="3"/>
            <w:tcBorders>
              <w:top w:val="single" w:sz="4" w:space="0" w:color="auto"/>
              <w:left w:val="single" w:sz="4" w:space="0" w:color="auto"/>
            </w:tcBorders>
            <w:shd w:val="clear" w:color="auto" w:fill="FFFFFF"/>
          </w:tcPr>
          <w:p w14:paraId="03DBAC8F" w14:textId="77777777" w:rsidR="006C7E47" w:rsidRPr="008D7464" w:rsidRDefault="006C7E47" w:rsidP="004812DC">
            <w:pPr>
              <w:suppressAutoHyphens/>
              <w:jc w:val="both"/>
              <w:rPr>
                <w:rFonts w:cs="Calibri"/>
                <w:color w:val="0070C0"/>
                <w:szCs w:val="22"/>
              </w:rPr>
            </w:pPr>
            <w:r>
              <w:rPr>
                <w:color w:val="0070C0"/>
                <w:szCs w:val="22"/>
              </w:rPr>
              <w:t xml:space="preserve">Documentary resources available in dedicated pages on the </w:t>
            </w:r>
            <w:proofErr w:type="spellStart"/>
            <w:r>
              <w:rPr>
                <w:color w:val="0070C0"/>
                <w:szCs w:val="22"/>
              </w:rPr>
              <w:t>Institut</w:t>
            </w:r>
            <w:proofErr w:type="spellEnd"/>
            <w:r>
              <w:rPr>
                <w:color w:val="0070C0"/>
                <w:szCs w:val="22"/>
              </w:rPr>
              <w:t xml:space="preserve"> Gaston Berger website</w:t>
            </w:r>
          </w:p>
        </w:tc>
        <w:tc>
          <w:tcPr>
            <w:tcW w:w="3867" w:type="dxa"/>
            <w:gridSpan w:val="3"/>
            <w:tcBorders>
              <w:top w:val="single" w:sz="4" w:space="0" w:color="auto"/>
              <w:left w:val="single" w:sz="4" w:space="0" w:color="auto"/>
            </w:tcBorders>
            <w:shd w:val="clear" w:color="auto" w:fill="FFFFFF"/>
          </w:tcPr>
          <w:p w14:paraId="1D77AA04" w14:textId="77777777" w:rsidR="006C7E47" w:rsidRPr="008D7464" w:rsidRDefault="006C7E47" w:rsidP="004812DC">
            <w:pPr>
              <w:suppressAutoHyphens/>
              <w:jc w:val="both"/>
              <w:rPr>
                <w:rFonts w:cs="Calibri"/>
                <w:szCs w:val="22"/>
              </w:rPr>
            </w:pPr>
          </w:p>
        </w:tc>
        <w:tc>
          <w:tcPr>
            <w:tcW w:w="3836" w:type="dxa"/>
            <w:tcBorders>
              <w:top w:val="single" w:sz="4" w:space="0" w:color="auto"/>
              <w:left w:val="single" w:sz="4" w:space="0" w:color="auto"/>
              <w:right w:val="single" w:sz="4" w:space="0" w:color="auto"/>
            </w:tcBorders>
            <w:shd w:val="clear" w:color="auto" w:fill="FFFFFF"/>
          </w:tcPr>
          <w:p w14:paraId="12C21A8C" w14:textId="77777777" w:rsidR="006C7E47" w:rsidRPr="008D7464" w:rsidRDefault="006C7E47" w:rsidP="004812DC">
            <w:pPr>
              <w:suppressAutoHyphens/>
              <w:jc w:val="both"/>
              <w:rPr>
                <w:rFonts w:cs="Calibri"/>
                <w:szCs w:val="22"/>
              </w:rPr>
            </w:pPr>
            <w:r>
              <w:t>Put the university library in the loop</w:t>
            </w:r>
          </w:p>
        </w:tc>
      </w:tr>
      <w:tr w:rsidR="006C7E47" w:rsidRPr="008D7464" w14:paraId="4DF48C02" w14:textId="77777777" w:rsidTr="001C069A">
        <w:trPr>
          <w:trHeight w:val="23"/>
          <w:jc w:val="center"/>
        </w:trPr>
        <w:tc>
          <w:tcPr>
            <w:tcW w:w="9142" w:type="dxa"/>
            <w:tcBorders>
              <w:top w:val="single" w:sz="4" w:space="0" w:color="auto"/>
              <w:left w:val="single" w:sz="4" w:space="0" w:color="auto"/>
            </w:tcBorders>
            <w:shd w:val="clear" w:color="auto" w:fill="F2F2F2"/>
          </w:tcPr>
          <w:p w14:paraId="636C18CB" w14:textId="77777777" w:rsidR="006C7E47" w:rsidRPr="008D7464" w:rsidRDefault="006C7E47" w:rsidP="004812DC">
            <w:pPr>
              <w:suppressAutoHyphens/>
              <w:spacing w:after="240"/>
              <w:jc w:val="both"/>
              <w:rPr>
                <w:rFonts w:cs="Calibri"/>
                <w:b/>
                <w:bCs/>
                <w:i/>
                <w:iCs/>
                <w:color w:val="FF0000"/>
                <w:szCs w:val="22"/>
              </w:rPr>
            </w:pPr>
            <w:r>
              <w:rPr>
                <w:b/>
                <w:bCs/>
                <w:i/>
                <w:iCs/>
                <w:color w:val="FF0000"/>
                <w:szCs w:val="22"/>
              </w:rPr>
              <w:t xml:space="preserve">Specific reference to </w:t>
            </w:r>
            <w:proofErr w:type="spellStart"/>
            <w:r>
              <w:rPr>
                <w:b/>
                <w:bCs/>
                <w:i/>
                <w:iCs/>
                <w:color w:val="FF0000"/>
                <w:szCs w:val="22"/>
              </w:rPr>
              <w:t>INSA</w:t>
            </w:r>
            <w:proofErr w:type="spellEnd"/>
            <w:r>
              <w:rPr>
                <w:b/>
                <w:bCs/>
                <w:i/>
                <w:iCs/>
                <w:color w:val="FF0000"/>
                <w:szCs w:val="22"/>
              </w:rPr>
              <w:t xml:space="preserve"> Lyon</w:t>
            </w:r>
          </w:p>
          <w:p w14:paraId="450005AD" w14:textId="1D35EA54" w:rsidR="006C7E47" w:rsidRPr="008D7464" w:rsidRDefault="006C7E47" w:rsidP="004812DC">
            <w:pPr>
              <w:pStyle w:val="Titre2"/>
            </w:pPr>
            <w:r>
              <w:t xml:space="preserve">Have the institution’s Board of Directors vote on Gender Equality and </w:t>
            </w:r>
            <w:r>
              <w:rPr>
                <w:b/>
                <w:i/>
                <w:color w:val="FF0000"/>
              </w:rPr>
              <w:t>Prevention of Gender Discrimination Guidelines.</w:t>
            </w:r>
          </w:p>
        </w:tc>
        <w:tc>
          <w:tcPr>
            <w:tcW w:w="5006" w:type="dxa"/>
            <w:gridSpan w:val="3"/>
            <w:tcBorders>
              <w:top w:val="single" w:sz="4" w:space="0" w:color="auto"/>
              <w:left w:val="single" w:sz="4" w:space="0" w:color="auto"/>
            </w:tcBorders>
            <w:shd w:val="clear" w:color="auto" w:fill="FFFFFF"/>
          </w:tcPr>
          <w:p w14:paraId="2CE6A733" w14:textId="77777777" w:rsidR="006C7E47" w:rsidRPr="008D7464" w:rsidRDefault="006C7E47" w:rsidP="004812DC">
            <w:pPr>
              <w:suppressAutoHyphens/>
              <w:jc w:val="both"/>
              <w:rPr>
                <w:rFonts w:cs="Calibri"/>
                <w:szCs w:val="22"/>
              </w:rPr>
            </w:pPr>
          </w:p>
        </w:tc>
        <w:tc>
          <w:tcPr>
            <w:tcW w:w="3867" w:type="dxa"/>
            <w:gridSpan w:val="3"/>
            <w:tcBorders>
              <w:top w:val="single" w:sz="4" w:space="0" w:color="auto"/>
              <w:left w:val="single" w:sz="4" w:space="0" w:color="auto"/>
            </w:tcBorders>
            <w:shd w:val="clear" w:color="auto" w:fill="FFFFFF"/>
          </w:tcPr>
          <w:p w14:paraId="27A911D7" w14:textId="77777777" w:rsidR="006C7E47" w:rsidRPr="008D7464" w:rsidRDefault="006C7E47" w:rsidP="004812DC">
            <w:pPr>
              <w:suppressAutoHyphens/>
              <w:jc w:val="both"/>
              <w:rPr>
                <w:rFonts w:cs="Calibri"/>
                <w:szCs w:val="22"/>
              </w:rPr>
            </w:pPr>
          </w:p>
        </w:tc>
        <w:tc>
          <w:tcPr>
            <w:tcW w:w="3836" w:type="dxa"/>
            <w:tcBorders>
              <w:top w:val="single" w:sz="4" w:space="0" w:color="auto"/>
              <w:left w:val="single" w:sz="4" w:space="0" w:color="auto"/>
              <w:right w:val="single" w:sz="4" w:space="0" w:color="auto"/>
            </w:tcBorders>
            <w:shd w:val="clear" w:color="auto" w:fill="FFFFFF"/>
          </w:tcPr>
          <w:p w14:paraId="1C1E356E" w14:textId="77777777" w:rsidR="006C7E47" w:rsidRPr="008D7464" w:rsidRDefault="006C7E47" w:rsidP="004812DC">
            <w:pPr>
              <w:suppressAutoHyphens/>
              <w:jc w:val="both"/>
              <w:rPr>
                <w:rFonts w:cs="Calibri"/>
                <w:szCs w:val="22"/>
              </w:rPr>
            </w:pPr>
            <w:r>
              <w:t>Draw up, on the basis of this Charter, an action plan involving quantified and measurable objectives and additional human and financial resources</w:t>
            </w:r>
          </w:p>
        </w:tc>
      </w:tr>
      <w:tr w:rsidR="008D7464" w:rsidRPr="008D7464" w14:paraId="6B56C1EC" w14:textId="77777777" w:rsidTr="001C069A">
        <w:trPr>
          <w:trHeight w:val="23"/>
          <w:jc w:val="center"/>
        </w:trPr>
        <w:tc>
          <w:tcPr>
            <w:tcW w:w="14148" w:type="dxa"/>
            <w:gridSpan w:val="4"/>
            <w:tcBorders>
              <w:top w:val="single" w:sz="4" w:space="0" w:color="auto"/>
              <w:left w:val="single" w:sz="4" w:space="0" w:color="auto"/>
            </w:tcBorders>
            <w:shd w:val="clear" w:color="auto" w:fill="F2F2F2"/>
          </w:tcPr>
          <w:p w14:paraId="39AC1AC5" w14:textId="3B5CD4B4" w:rsidR="006C7E47" w:rsidRPr="008D7464" w:rsidRDefault="006C7E47" w:rsidP="004812DC">
            <w:pPr>
              <w:pStyle w:val="Titre1"/>
            </w:pPr>
            <w:r>
              <w:t>STUDENTS</w:t>
            </w:r>
          </w:p>
        </w:tc>
        <w:tc>
          <w:tcPr>
            <w:tcW w:w="3867" w:type="dxa"/>
            <w:gridSpan w:val="3"/>
            <w:tcBorders>
              <w:top w:val="single" w:sz="4" w:space="0" w:color="auto"/>
              <w:left w:val="single" w:sz="4" w:space="0" w:color="auto"/>
            </w:tcBorders>
            <w:shd w:val="clear" w:color="auto" w:fill="F2F2F2"/>
          </w:tcPr>
          <w:p w14:paraId="1A8BBC94" w14:textId="77777777" w:rsidR="006C7E47" w:rsidRPr="008D7464" w:rsidRDefault="006C7E47" w:rsidP="004812DC">
            <w:pPr>
              <w:suppressAutoHyphens/>
              <w:jc w:val="both"/>
              <w:rPr>
                <w:rFonts w:cs="Calibri"/>
                <w:szCs w:val="22"/>
              </w:rPr>
            </w:pPr>
          </w:p>
        </w:tc>
        <w:tc>
          <w:tcPr>
            <w:tcW w:w="3836" w:type="dxa"/>
            <w:tcBorders>
              <w:top w:val="single" w:sz="4" w:space="0" w:color="auto"/>
              <w:left w:val="single" w:sz="4" w:space="0" w:color="auto"/>
              <w:right w:val="single" w:sz="4" w:space="0" w:color="auto"/>
            </w:tcBorders>
            <w:shd w:val="clear" w:color="auto" w:fill="F2F2F2"/>
          </w:tcPr>
          <w:p w14:paraId="7DCE3867" w14:textId="77777777" w:rsidR="006C7E47" w:rsidRPr="008D7464" w:rsidRDefault="006C7E47" w:rsidP="004812DC">
            <w:pPr>
              <w:suppressAutoHyphens/>
              <w:jc w:val="both"/>
              <w:rPr>
                <w:rFonts w:cs="Calibri"/>
                <w:szCs w:val="22"/>
              </w:rPr>
            </w:pPr>
          </w:p>
        </w:tc>
      </w:tr>
      <w:tr w:rsidR="006C7E47" w:rsidRPr="008D7464" w14:paraId="7E381BA5" w14:textId="77777777" w:rsidTr="001C069A">
        <w:trPr>
          <w:trHeight w:val="23"/>
          <w:jc w:val="center"/>
        </w:trPr>
        <w:tc>
          <w:tcPr>
            <w:tcW w:w="9142" w:type="dxa"/>
            <w:tcBorders>
              <w:top w:val="single" w:sz="4" w:space="0" w:color="auto"/>
              <w:left w:val="single" w:sz="4" w:space="0" w:color="auto"/>
            </w:tcBorders>
            <w:shd w:val="clear" w:color="auto" w:fill="F2F2F2"/>
          </w:tcPr>
          <w:p w14:paraId="7A5A7A56" w14:textId="687D822A" w:rsidR="006C7E47" w:rsidRPr="008D7464" w:rsidRDefault="006C7E47" w:rsidP="004812DC">
            <w:pPr>
              <w:pStyle w:val="Titre2"/>
            </w:pPr>
            <w:r>
              <w:t>Mainstream the production of gendered data on enrolment, study conditions, success and entry into the world of work in different courses.</w:t>
            </w:r>
          </w:p>
        </w:tc>
        <w:tc>
          <w:tcPr>
            <w:tcW w:w="5006" w:type="dxa"/>
            <w:gridSpan w:val="3"/>
            <w:tcBorders>
              <w:top w:val="single" w:sz="4" w:space="0" w:color="auto"/>
              <w:left w:val="single" w:sz="4" w:space="0" w:color="auto"/>
            </w:tcBorders>
            <w:shd w:val="clear" w:color="auto" w:fill="FFFFFF"/>
          </w:tcPr>
          <w:p w14:paraId="7C141BF7" w14:textId="77777777" w:rsidR="006C7E47" w:rsidRPr="008D7464" w:rsidRDefault="006C7E47" w:rsidP="004812DC">
            <w:pPr>
              <w:suppressAutoHyphens/>
              <w:jc w:val="both"/>
              <w:rPr>
                <w:rFonts w:cs="Calibri"/>
                <w:color w:val="0070C0"/>
                <w:szCs w:val="22"/>
              </w:rPr>
            </w:pPr>
            <w:r>
              <w:rPr>
                <w:color w:val="0070C0"/>
                <w:szCs w:val="22"/>
              </w:rPr>
              <w:t xml:space="preserve">Overview carried out by the monitoring unit of the </w:t>
            </w:r>
            <w:proofErr w:type="spellStart"/>
            <w:r>
              <w:rPr>
                <w:color w:val="0070C0"/>
                <w:szCs w:val="22"/>
              </w:rPr>
              <w:t>Institut</w:t>
            </w:r>
            <w:proofErr w:type="spellEnd"/>
            <w:r>
              <w:rPr>
                <w:color w:val="0070C0"/>
                <w:szCs w:val="22"/>
              </w:rPr>
              <w:t xml:space="preserve"> Gaston Berger, including data from the admissions department (</w:t>
            </w:r>
            <w:proofErr w:type="spellStart"/>
            <w:r>
              <w:rPr>
                <w:color w:val="0070C0"/>
                <w:szCs w:val="22"/>
              </w:rPr>
              <w:t>SAGI</w:t>
            </w:r>
            <w:proofErr w:type="spellEnd"/>
            <w:r>
              <w:rPr>
                <w:color w:val="0070C0"/>
                <w:szCs w:val="22"/>
              </w:rPr>
              <w:t>), student affairs department (</w:t>
            </w:r>
            <w:proofErr w:type="spellStart"/>
            <w:r>
              <w:rPr>
                <w:color w:val="0070C0"/>
                <w:szCs w:val="22"/>
              </w:rPr>
              <w:t>SCOL</w:t>
            </w:r>
            <w:proofErr w:type="spellEnd"/>
            <w:r>
              <w:rPr>
                <w:color w:val="0070C0"/>
                <w:szCs w:val="22"/>
              </w:rPr>
              <w:t>), corporate relations department (DRE), etc.</w:t>
            </w:r>
          </w:p>
        </w:tc>
        <w:tc>
          <w:tcPr>
            <w:tcW w:w="3867" w:type="dxa"/>
            <w:gridSpan w:val="3"/>
            <w:tcBorders>
              <w:top w:val="single" w:sz="4" w:space="0" w:color="auto"/>
              <w:left w:val="single" w:sz="4" w:space="0" w:color="auto"/>
            </w:tcBorders>
            <w:shd w:val="clear" w:color="auto" w:fill="FFFFFF"/>
          </w:tcPr>
          <w:p w14:paraId="2A81D422" w14:textId="77777777" w:rsidR="006C7E47" w:rsidRPr="008D7464" w:rsidRDefault="006C7E47" w:rsidP="004812DC">
            <w:pPr>
              <w:suppressAutoHyphens/>
              <w:jc w:val="both"/>
              <w:rPr>
                <w:rFonts w:cs="Calibri"/>
                <w:szCs w:val="22"/>
              </w:rPr>
            </w:pPr>
          </w:p>
        </w:tc>
        <w:tc>
          <w:tcPr>
            <w:tcW w:w="3836" w:type="dxa"/>
            <w:tcBorders>
              <w:top w:val="single" w:sz="4" w:space="0" w:color="auto"/>
              <w:left w:val="single" w:sz="4" w:space="0" w:color="auto"/>
              <w:right w:val="single" w:sz="4" w:space="0" w:color="auto"/>
            </w:tcBorders>
            <w:shd w:val="clear" w:color="auto" w:fill="FFFFFF"/>
          </w:tcPr>
          <w:p w14:paraId="51B3EA80" w14:textId="77777777" w:rsidR="006C7E47" w:rsidRPr="008D7464" w:rsidRDefault="006C7E47" w:rsidP="004812DC">
            <w:pPr>
              <w:suppressAutoHyphens/>
              <w:jc w:val="both"/>
              <w:rPr>
                <w:rFonts w:cs="Calibri"/>
                <w:szCs w:val="22"/>
              </w:rPr>
            </w:pPr>
          </w:p>
        </w:tc>
      </w:tr>
      <w:tr w:rsidR="006C7E47" w:rsidRPr="008D7464" w14:paraId="548A1B23" w14:textId="77777777" w:rsidTr="001C069A">
        <w:trPr>
          <w:trHeight w:val="23"/>
          <w:jc w:val="center"/>
        </w:trPr>
        <w:tc>
          <w:tcPr>
            <w:tcW w:w="9142" w:type="dxa"/>
            <w:tcBorders>
              <w:top w:val="single" w:sz="4" w:space="0" w:color="auto"/>
              <w:left w:val="single" w:sz="4" w:space="0" w:color="auto"/>
              <w:bottom w:val="single" w:sz="4" w:space="0" w:color="auto"/>
            </w:tcBorders>
            <w:shd w:val="clear" w:color="auto" w:fill="F2F2F2"/>
          </w:tcPr>
          <w:p w14:paraId="49897F67" w14:textId="77777777" w:rsidR="006C7E47" w:rsidRPr="008D7464" w:rsidRDefault="006C7E47" w:rsidP="004812DC">
            <w:pPr>
              <w:suppressAutoHyphens/>
              <w:jc w:val="both"/>
              <w:rPr>
                <w:rFonts w:cs="Calibri"/>
                <w:szCs w:val="22"/>
              </w:rPr>
            </w:pPr>
          </w:p>
        </w:tc>
        <w:tc>
          <w:tcPr>
            <w:tcW w:w="5006" w:type="dxa"/>
            <w:gridSpan w:val="3"/>
            <w:tcBorders>
              <w:top w:val="single" w:sz="4" w:space="0" w:color="auto"/>
              <w:left w:val="single" w:sz="4" w:space="0" w:color="auto"/>
              <w:bottom w:val="single" w:sz="4" w:space="0" w:color="auto"/>
            </w:tcBorders>
            <w:shd w:val="clear" w:color="auto" w:fill="FFFFFF"/>
          </w:tcPr>
          <w:p w14:paraId="3AE97300" w14:textId="77777777" w:rsidR="006C7E47" w:rsidRPr="008D7464" w:rsidRDefault="006C7E47" w:rsidP="004812DC">
            <w:pPr>
              <w:suppressAutoHyphens/>
              <w:spacing w:after="120"/>
              <w:jc w:val="both"/>
              <w:rPr>
                <w:rFonts w:cs="Calibri"/>
                <w:bCs/>
                <w:color w:val="0070C0"/>
                <w:szCs w:val="22"/>
              </w:rPr>
            </w:pPr>
            <w:r>
              <w:rPr>
                <w:b/>
                <w:bCs/>
                <w:color w:val="0070C0"/>
                <w:szCs w:val="22"/>
              </w:rPr>
              <w:t>Objectives</w:t>
            </w:r>
            <w:r>
              <w:rPr>
                <w:bCs/>
                <w:color w:val="0070C0"/>
                <w:szCs w:val="22"/>
              </w:rPr>
              <w:t xml:space="preserve">: Gender equality in specialist departments (minimum 35% of women or men to ensure gender </w:t>
            </w:r>
            <w:r>
              <w:rPr>
                <w:bCs/>
                <w:color w:val="0070C0"/>
                <w:szCs w:val="22"/>
              </w:rPr>
              <w:lastRenderedPageBreak/>
              <w:t>equality in the field).</w:t>
            </w:r>
          </w:p>
        </w:tc>
        <w:tc>
          <w:tcPr>
            <w:tcW w:w="3867" w:type="dxa"/>
            <w:gridSpan w:val="3"/>
            <w:tcBorders>
              <w:top w:val="single" w:sz="4" w:space="0" w:color="auto"/>
              <w:left w:val="single" w:sz="4" w:space="0" w:color="auto"/>
              <w:bottom w:val="single" w:sz="4" w:space="0" w:color="auto"/>
            </w:tcBorders>
            <w:shd w:val="clear" w:color="auto" w:fill="FFFFFF"/>
          </w:tcPr>
          <w:p w14:paraId="28EDA603" w14:textId="77777777" w:rsidR="006C7E47" w:rsidRPr="008D7464" w:rsidRDefault="006C7E47" w:rsidP="004812DC">
            <w:pPr>
              <w:suppressAutoHyphens/>
              <w:jc w:val="both"/>
              <w:rPr>
                <w:rFonts w:cs="Calibri"/>
                <w:szCs w:val="22"/>
              </w:rPr>
            </w:pPr>
          </w:p>
        </w:tc>
        <w:tc>
          <w:tcPr>
            <w:tcW w:w="3836" w:type="dxa"/>
            <w:tcBorders>
              <w:top w:val="single" w:sz="4" w:space="0" w:color="auto"/>
              <w:left w:val="single" w:sz="4" w:space="0" w:color="auto"/>
              <w:bottom w:val="single" w:sz="4" w:space="0" w:color="auto"/>
              <w:right w:val="single" w:sz="4" w:space="0" w:color="auto"/>
            </w:tcBorders>
            <w:shd w:val="clear" w:color="auto" w:fill="FFFFFF"/>
          </w:tcPr>
          <w:p w14:paraId="400680DB" w14:textId="77777777" w:rsidR="006C7E47" w:rsidRPr="008D7464" w:rsidRDefault="006C7E47" w:rsidP="004812DC">
            <w:pPr>
              <w:suppressAutoHyphens/>
              <w:jc w:val="both"/>
              <w:rPr>
                <w:rFonts w:cs="Calibri"/>
                <w:szCs w:val="22"/>
              </w:rPr>
            </w:pPr>
          </w:p>
        </w:tc>
      </w:tr>
      <w:tr w:rsidR="006C7E47" w:rsidRPr="004812DC" w14:paraId="3DB35069" w14:textId="77777777" w:rsidTr="001C069A">
        <w:tblPrEx>
          <w:jc w:val="left"/>
        </w:tblPrEx>
        <w:trPr>
          <w:trHeight w:val="23"/>
        </w:trPr>
        <w:tc>
          <w:tcPr>
            <w:tcW w:w="9154" w:type="dxa"/>
            <w:gridSpan w:val="2"/>
            <w:tcBorders>
              <w:top w:val="single" w:sz="4" w:space="0" w:color="auto"/>
              <w:left w:val="single" w:sz="4" w:space="0" w:color="auto"/>
            </w:tcBorders>
            <w:shd w:val="clear" w:color="auto" w:fill="F2F2F2"/>
          </w:tcPr>
          <w:p w14:paraId="3029C898" w14:textId="00BC6912" w:rsidR="006C7E47" w:rsidRPr="004812DC" w:rsidRDefault="006C7E47" w:rsidP="004812DC">
            <w:pPr>
              <w:pStyle w:val="Titre2"/>
            </w:pPr>
            <w:r>
              <w:t>Promote incentives for a gender-balanced student body on all courses.</w:t>
            </w:r>
          </w:p>
        </w:tc>
        <w:tc>
          <w:tcPr>
            <w:tcW w:w="5001" w:type="dxa"/>
            <w:gridSpan w:val="3"/>
            <w:tcBorders>
              <w:top w:val="single" w:sz="4" w:space="0" w:color="auto"/>
              <w:left w:val="single" w:sz="4" w:space="0" w:color="auto"/>
            </w:tcBorders>
            <w:shd w:val="clear" w:color="auto" w:fill="FFFFFF"/>
          </w:tcPr>
          <w:p w14:paraId="4E0137E6" w14:textId="77777777" w:rsidR="006C7E47" w:rsidRPr="004812DC" w:rsidRDefault="006C7E47" w:rsidP="004812DC">
            <w:pPr>
              <w:suppressAutoHyphens/>
              <w:jc w:val="both"/>
              <w:rPr>
                <w:rFonts w:cs="Calibri"/>
                <w:b/>
                <w:bCs/>
                <w:color w:val="0070C0"/>
                <w:szCs w:val="22"/>
              </w:rPr>
            </w:pPr>
            <w:r>
              <w:rPr>
                <w:b/>
                <w:bCs/>
                <w:color w:val="0070C0"/>
                <w:szCs w:val="22"/>
              </w:rPr>
              <w:t>Carried out within the framework of the PPP:</w:t>
            </w:r>
          </w:p>
          <w:p w14:paraId="1FCA53BD" w14:textId="77777777" w:rsidR="006C7E47" w:rsidRPr="004812DC" w:rsidRDefault="006C7E47" w:rsidP="004812DC">
            <w:pPr>
              <w:suppressAutoHyphens/>
              <w:spacing w:after="240"/>
              <w:jc w:val="both"/>
              <w:rPr>
                <w:rFonts w:cs="Calibri"/>
                <w:color w:val="0070C0"/>
                <w:szCs w:val="22"/>
              </w:rPr>
            </w:pPr>
            <w:r>
              <w:rPr>
                <w:color w:val="0070C0"/>
                <w:szCs w:val="22"/>
              </w:rPr>
              <w:t>information and awareness-raising measures at undergraduate level, as part of the mentoring scheme</w:t>
            </w:r>
          </w:p>
          <w:p w14:paraId="2FFB43B1" w14:textId="77777777" w:rsidR="006C7E47" w:rsidRPr="004812DC" w:rsidRDefault="006C7E47" w:rsidP="004812DC">
            <w:pPr>
              <w:suppressAutoHyphens/>
              <w:jc w:val="both"/>
              <w:rPr>
                <w:rFonts w:cs="Calibri"/>
                <w:bCs/>
                <w:color w:val="0070C0"/>
                <w:szCs w:val="22"/>
              </w:rPr>
            </w:pPr>
            <w:r>
              <w:rPr>
                <w:b/>
                <w:bCs/>
                <w:color w:val="0070C0"/>
                <w:szCs w:val="22"/>
              </w:rPr>
              <w:t>Research</w:t>
            </w:r>
            <w:r>
              <w:rPr>
                <w:bCs/>
                <w:color w:val="0070C0"/>
                <w:szCs w:val="22"/>
              </w:rPr>
              <w:t>:</w:t>
            </w:r>
          </w:p>
          <w:p w14:paraId="5560A275" w14:textId="77777777" w:rsidR="006C7E47" w:rsidRPr="004812DC" w:rsidRDefault="006C7E47" w:rsidP="004812DC">
            <w:pPr>
              <w:suppressAutoHyphens/>
              <w:spacing w:after="120"/>
              <w:jc w:val="both"/>
              <w:rPr>
                <w:rFonts w:cs="Calibri"/>
                <w:color w:val="0070C0"/>
                <w:szCs w:val="22"/>
              </w:rPr>
            </w:pPr>
            <w:r>
              <w:rPr>
                <w:color w:val="0070C0"/>
                <w:szCs w:val="22"/>
              </w:rPr>
              <w:t xml:space="preserve">Guidance from a gendered perspective is the subject of a doctorate in social psychology with the </w:t>
            </w:r>
            <w:proofErr w:type="spellStart"/>
            <w:r>
              <w:rPr>
                <w:color w:val="0070C0"/>
                <w:szCs w:val="22"/>
              </w:rPr>
              <w:t>laboratoire</w:t>
            </w:r>
            <w:proofErr w:type="spellEnd"/>
            <w:r>
              <w:rPr>
                <w:color w:val="0070C0"/>
                <w:szCs w:val="22"/>
              </w:rPr>
              <w:t xml:space="preserve"> </w:t>
            </w:r>
            <w:proofErr w:type="spellStart"/>
            <w:r>
              <w:rPr>
                <w:color w:val="0070C0"/>
                <w:szCs w:val="22"/>
              </w:rPr>
              <w:t>GRePS</w:t>
            </w:r>
            <w:proofErr w:type="spellEnd"/>
            <w:r>
              <w:rPr>
                <w:color w:val="0070C0"/>
                <w:szCs w:val="22"/>
              </w:rPr>
              <w:t xml:space="preserve"> (social psychology research group laboratory) at Lyon 2 University (2016-2020) supported by the </w:t>
            </w:r>
            <w:proofErr w:type="spellStart"/>
            <w:r>
              <w:rPr>
                <w:color w:val="0070C0"/>
                <w:szCs w:val="22"/>
              </w:rPr>
              <w:t>IGB</w:t>
            </w:r>
            <w:proofErr w:type="spellEnd"/>
            <w:r>
              <w:rPr>
                <w:color w:val="0070C0"/>
                <w:szCs w:val="22"/>
              </w:rPr>
              <w:t>.</w:t>
            </w:r>
          </w:p>
          <w:p w14:paraId="77455571" w14:textId="77777777" w:rsidR="006C7E47" w:rsidRPr="004812DC" w:rsidRDefault="006C7E47" w:rsidP="004812DC">
            <w:pPr>
              <w:suppressAutoHyphens/>
              <w:spacing w:after="240"/>
              <w:jc w:val="both"/>
              <w:rPr>
                <w:rFonts w:cs="Calibri"/>
                <w:color w:val="0070C0"/>
                <w:szCs w:val="22"/>
              </w:rPr>
            </w:pPr>
            <w:r>
              <w:rPr>
                <w:color w:val="0070C0"/>
                <w:szCs w:val="22"/>
              </w:rPr>
              <w:t>It has been the subject of 5 Master’s courses in the humanities and social sciences (</w:t>
            </w:r>
            <w:proofErr w:type="spellStart"/>
            <w:r>
              <w:rPr>
                <w:color w:val="0070C0"/>
                <w:szCs w:val="22"/>
              </w:rPr>
              <w:t>SHS</w:t>
            </w:r>
            <w:proofErr w:type="spellEnd"/>
            <w:r>
              <w:rPr>
                <w:color w:val="0070C0"/>
                <w:szCs w:val="22"/>
              </w:rPr>
              <w:t xml:space="preserve">) since 2009 with </w:t>
            </w:r>
            <w:proofErr w:type="spellStart"/>
            <w:r>
              <w:rPr>
                <w:color w:val="0070C0"/>
                <w:szCs w:val="22"/>
              </w:rPr>
              <w:t>SHS</w:t>
            </w:r>
            <w:proofErr w:type="spellEnd"/>
            <w:r>
              <w:rPr>
                <w:color w:val="0070C0"/>
                <w:szCs w:val="22"/>
              </w:rPr>
              <w:t xml:space="preserve"> partner laboratories in the </w:t>
            </w:r>
            <w:proofErr w:type="spellStart"/>
            <w:r>
              <w:rPr>
                <w:color w:val="0070C0"/>
                <w:szCs w:val="22"/>
              </w:rPr>
              <w:t>COMUE</w:t>
            </w:r>
            <w:proofErr w:type="spellEnd"/>
            <w:r>
              <w:rPr>
                <w:color w:val="0070C0"/>
                <w:szCs w:val="22"/>
              </w:rPr>
              <w:t xml:space="preserve"> (groups of universities and institutions).</w:t>
            </w:r>
          </w:p>
          <w:p w14:paraId="39EBC251" w14:textId="77777777" w:rsidR="006C7E47" w:rsidRPr="004812DC" w:rsidRDefault="006C7E47" w:rsidP="004812DC">
            <w:pPr>
              <w:suppressAutoHyphens/>
              <w:spacing w:after="120"/>
              <w:jc w:val="both"/>
              <w:rPr>
                <w:rFonts w:cs="Calibri"/>
                <w:b/>
                <w:bCs/>
                <w:color w:val="0070C0"/>
                <w:szCs w:val="22"/>
              </w:rPr>
            </w:pPr>
            <w:r>
              <w:rPr>
                <w:b/>
                <w:bCs/>
                <w:color w:val="0070C0"/>
                <w:szCs w:val="22"/>
              </w:rPr>
              <w:t>Focus on diversity issues in the digital environment:</w:t>
            </w:r>
          </w:p>
          <w:p w14:paraId="248A776B" w14:textId="77777777" w:rsidR="006C7E47" w:rsidRPr="004812DC" w:rsidRDefault="006C7E47" w:rsidP="004812DC">
            <w:pPr>
              <w:suppressAutoHyphens/>
              <w:jc w:val="both"/>
              <w:rPr>
                <w:rFonts w:cs="Calibri"/>
                <w:color w:val="0070C0"/>
                <w:szCs w:val="22"/>
              </w:rPr>
            </w:pPr>
            <w:r>
              <w:rPr>
                <w:color w:val="0070C0"/>
                <w:szCs w:val="22"/>
              </w:rPr>
              <w:t>A working group was set up in 2016 on the specific issue of guidance in the IT and digital professions, with the following deliverables: training, communication and information support, incentive measures, etc.</w:t>
            </w:r>
          </w:p>
        </w:tc>
        <w:tc>
          <w:tcPr>
            <w:tcW w:w="3860" w:type="dxa"/>
            <w:gridSpan w:val="2"/>
            <w:tcBorders>
              <w:top w:val="single" w:sz="4" w:space="0" w:color="auto"/>
              <w:left w:val="single" w:sz="4" w:space="0" w:color="auto"/>
            </w:tcBorders>
            <w:shd w:val="clear" w:color="auto" w:fill="FFFFFF"/>
          </w:tcPr>
          <w:p w14:paraId="6F13FD1D" w14:textId="77777777" w:rsidR="006C7E47" w:rsidRPr="004812DC" w:rsidRDefault="006C7E47" w:rsidP="004812DC">
            <w:pPr>
              <w:suppressAutoHyphens/>
              <w:jc w:val="both"/>
              <w:rPr>
                <w:rFonts w:cs="Calibri"/>
                <w:szCs w:val="22"/>
              </w:rPr>
            </w:pPr>
          </w:p>
        </w:tc>
        <w:tc>
          <w:tcPr>
            <w:tcW w:w="3836" w:type="dxa"/>
            <w:tcBorders>
              <w:top w:val="single" w:sz="4" w:space="0" w:color="auto"/>
              <w:left w:val="single" w:sz="4" w:space="0" w:color="auto"/>
              <w:right w:val="single" w:sz="4" w:space="0" w:color="auto"/>
            </w:tcBorders>
            <w:shd w:val="clear" w:color="auto" w:fill="FFFFFF"/>
          </w:tcPr>
          <w:p w14:paraId="6CE2390B" w14:textId="77777777" w:rsidR="006C7E47" w:rsidRPr="004812DC" w:rsidRDefault="006C7E47" w:rsidP="004812DC">
            <w:pPr>
              <w:suppressAutoHyphens/>
              <w:jc w:val="both"/>
              <w:rPr>
                <w:rFonts w:cs="Calibri"/>
                <w:szCs w:val="22"/>
              </w:rPr>
            </w:pPr>
          </w:p>
        </w:tc>
      </w:tr>
      <w:tr w:rsidR="006C7E47" w:rsidRPr="004812DC" w14:paraId="70260C0F" w14:textId="77777777" w:rsidTr="001C069A">
        <w:tblPrEx>
          <w:jc w:val="left"/>
        </w:tblPrEx>
        <w:trPr>
          <w:trHeight w:val="23"/>
        </w:trPr>
        <w:tc>
          <w:tcPr>
            <w:tcW w:w="9154" w:type="dxa"/>
            <w:gridSpan w:val="2"/>
            <w:tcBorders>
              <w:top w:val="single" w:sz="4" w:space="0" w:color="auto"/>
              <w:left w:val="single" w:sz="4" w:space="0" w:color="auto"/>
            </w:tcBorders>
            <w:shd w:val="clear" w:color="auto" w:fill="F2F2F2"/>
          </w:tcPr>
          <w:p w14:paraId="232097E6" w14:textId="0DBF540F" w:rsidR="006C7E47" w:rsidRPr="004812DC" w:rsidRDefault="006C7E47" w:rsidP="004812DC">
            <w:pPr>
              <w:pStyle w:val="Titre2"/>
            </w:pPr>
            <w:r>
              <w:t>Make sure you do not penalise the progress of female students' studies because of family obligations</w:t>
            </w:r>
          </w:p>
        </w:tc>
        <w:tc>
          <w:tcPr>
            <w:tcW w:w="5001" w:type="dxa"/>
            <w:gridSpan w:val="3"/>
            <w:tcBorders>
              <w:top w:val="single" w:sz="4" w:space="0" w:color="auto"/>
              <w:left w:val="single" w:sz="4" w:space="0" w:color="auto"/>
            </w:tcBorders>
            <w:shd w:val="clear" w:color="auto" w:fill="FFFFFF"/>
          </w:tcPr>
          <w:p w14:paraId="34701E88" w14:textId="77777777" w:rsidR="006C7E47" w:rsidRPr="004812DC" w:rsidRDefault="006C7E47" w:rsidP="004812DC">
            <w:pPr>
              <w:suppressAutoHyphens/>
              <w:jc w:val="both"/>
              <w:rPr>
                <w:rFonts w:cs="Calibri"/>
                <w:szCs w:val="22"/>
              </w:rPr>
            </w:pPr>
          </w:p>
        </w:tc>
        <w:tc>
          <w:tcPr>
            <w:tcW w:w="3860" w:type="dxa"/>
            <w:gridSpan w:val="2"/>
            <w:tcBorders>
              <w:top w:val="single" w:sz="4" w:space="0" w:color="auto"/>
              <w:left w:val="single" w:sz="4" w:space="0" w:color="auto"/>
            </w:tcBorders>
            <w:shd w:val="clear" w:color="auto" w:fill="FFFFFF"/>
          </w:tcPr>
          <w:p w14:paraId="4C50284A" w14:textId="77777777" w:rsidR="006C7E47" w:rsidRPr="004812DC" w:rsidRDefault="006C7E47" w:rsidP="004812DC">
            <w:pPr>
              <w:suppressAutoHyphens/>
              <w:jc w:val="both"/>
              <w:rPr>
                <w:rFonts w:cs="Calibri"/>
                <w:szCs w:val="22"/>
              </w:rPr>
            </w:pPr>
          </w:p>
        </w:tc>
        <w:tc>
          <w:tcPr>
            <w:tcW w:w="3836" w:type="dxa"/>
            <w:tcBorders>
              <w:top w:val="single" w:sz="4" w:space="0" w:color="auto"/>
              <w:left w:val="single" w:sz="4" w:space="0" w:color="auto"/>
              <w:right w:val="single" w:sz="4" w:space="0" w:color="auto"/>
            </w:tcBorders>
            <w:shd w:val="clear" w:color="auto" w:fill="FFFFFF"/>
          </w:tcPr>
          <w:p w14:paraId="3A267367" w14:textId="77777777" w:rsidR="006C7E47" w:rsidRPr="004812DC" w:rsidRDefault="006C7E47" w:rsidP="006D3B8D">
            <w:pPr>
              <w:suppressAutoHyphens/>
              <w:ind w:left="1553"/>
              <w:rPr>
                <w:rFonts w:cs="Calibri"/>
                <w:szCs w:val="22"/>
              </w:rPr>
            </w:pPr>
            <w:r>
              <w:t>Departments affected</w:t>
            </w:r>
          </w:p>
        </w:tc>
      </w:tr>
      <w:tr w:rsidR="006C7E47" w:rsidRPr="004812DC" w14:paraId="2B136A4F" w14:textId="77777777" w:rsidTr="001C069A">
        <w:tblPrEx>
          <w:jc w:val="left"/>
        </w:tblPrEx>
        <w:trPr>
          <w:trHeight w:val="23"/>
        </w:trPr>
        <w:tc>
          <w:tcPr>
            <w:tcW w:w="9154" w:type="dxa"/>
            <w:gridSpan w:val="2"/>
            <w:tcBorders>
              <w:top w:val="single" w:sz="4" w:space="0" w:color="auto"/>
              <w:left w:val="single" w:sz="4" w:space="0" w:color="auto"/>
            </w:tcBorders>
            <w:shd w:val="clear" w:color="auto" w:fill="F2F2F2"/>
          </w:tcPr>
          <w:p w14:paraId="7EA98CE3" w14:textId="77777777" w:rsidR="006C7E47" w:rsidRPr="004812DC" w:rsidRDefault="006C7E47" w:rsidP="004812DC">
            <w:pPr>
              <w:suppressAutoHyphens/>
              <w:jc w:val="both"/>
              <w:rPr>
                <w:rFonts w:cs="Calibri"/>
                <w:b/>
                <w:bCs/>
                <w:i/>
                <w:iCs/>
                <w:color w:val="00B050"/>
                <w:szCs w:val="22"/>
              </w:rPr>
            </w:pPr>
            <w:r>
              <w:rPr>
                <w:b/>
                <w:bCs/>
                <w:i/>
                <w:iCs/>
                <w:color w:val="00B050"/>
                <w:szCs w:val="22"/>
              </w:rPr>
              <w:t>Reference to the fight against sexual harassment</w:t>
            </w:r>
          </w:p>
          <w:p w14:paraId="498EE0F7" w14:textId="77777777" w:rsidR="006C7E47" w:rsidRPr="004812DC" w:rsidRDefault="006C7E47" w:rsidP="004812DC">
            <w:pPr>
              <w:suppressAutoHyphens/>
              <w:jc w:val="both"/>
              <w:rPr>
                <w:rFonts w:cs="Calibri"/>
                <w:szCs w:val="22"/>
              </w:rPr>
            </w:pPr>
            <w:r>
              <w:t xml:space="preserve">Adopt a system to prevent and address harassment and sexist, sexual </w:t>
            </w:r>
            <w:r>
              <w:rPr>
                <w:b/>
                <w:i/>
                <w:color w:val="FF0000"/>
                <w:szCs w:val="22"/>
              </w:rPr>
              <w:t>and LGBT-phobic violence</w:t>
            </w:r>
            <w:r>
              <w:t>,</w:t>
            </w:r>
          </w:p>
          <w:p w14:paraId="0959515B" w14:textId="77777777" w:rsidR="006C7E47" w:rsidRPr="004812DC" w:rsidRDefault="006C7E47" w:rsidP="004812DC">
            <w:pPr>
              <w:suppressAutoHyphens/>
              <w:jc w:val="both"/>
              <w:rPr>
                <w:rFonts w:cs="Calibri"/>
                <w:szCs w:val="22"/>
              </w:rPr>
            </w:pPr>
            <w:r>
              <w:t xml:space="preserve">especially </w:t>
            </w:r>
            <w:proofErr w:type="spellStart"/>
            <w:r>
              <w:t>cybersexism</w:t>
            </w:r>
            <w:proofErr w:type="spellEnd"/>
            <w:r>
              <w:t xml:space="preserve"> and gender-related cyberviolence.</w:t>
            </w:r>
          </w:p>
        </w:tc>
        <w:tc>
          <w:tcPr>
            <w:tcW w:w="5001" w:type="dxa"/>
            <w:gridSpan w:val="3"/>
            <w:tcBorders>
              <w:top w:val="single" w:sz="4" w:space="0" w:color="auto"/>
              <w:left w:val="single" w:sz="4" w:space="0" w:color="auto"/>
            </w:tcBorders>
            <w:shd w:val="clear" w:color="auto" w:fill="FFFFFF"/>
          </w:tcPr>
          <w:p w14:paraId="4292B992" w14:textId="77777777" w:rsidR="006C7E47" w:rsidRPr="004812DC" w:rsidRDefault="006C7E47" w:rsidP="004812DC">
            <w:pPr>
              <w:suppressAutoHyphens/>
              <w:jc w:val="both"/>
              <w:rPr>
                <w:rFonts w:cs="Calibri"/>
                <w:szCs w:val="22"/>
              </w:rPr>
            </w:pPr>
          </w:p>
        </w:tc>
        <w:tc>
          <w:tcPr>
            <w:tcW w:w="3860" w:type="dxa"/>
            <w:gridSpan w:val="2"/>
            <w:tcBorders>
              <w:top w:val="single" w:sz="4" w:space="0" w:color="auto"/>
              <w:left w:val="single" w:sz="4" w:space="0" w:color="auto"/>
            </w:tcBorders>
            <w:shd w:val="clear" w:color="auto" w:fill="FFFFFF"/>
          </w:tcPr>
          <w:p w14:paraId="11E5E1A5" w14:textId="77777777" w:rsidR="006C7E47" w:rsidRPr="004812DC" w:rsidRDefault="006C7E47" w:rsidP="004812DC">
            <w:pPr>
              <w:suppressAutoHyphens/>
              <w:jc w:val="both"/>
              <w:rPr>
                <w:rFonts w:cs="Calibri"/>
                <w:szCs w:val="22"/>
              </w:rPr>
            </w:pPr>
          </w:p>
        </w:tc>
        <w:tc>
          <w:tcPr>
            <w:tcW w:w="3836" w:type="dxa"/>
            <w:tcBorders>
              <w:top w:val="single" w:sz="4" w:space="0" w:color="auto"/>
              <w:left w:val="single" w:sz="4" w:space="0" w:color="auto"/>
              <w:right w:val="single" w:sz="4" w:space="0" w:color="auto"/>
            </w:tcBorders>
            <w:shd w:val="clear" w:color="auto" w:fill="FFFFFF"/>
          </w:tcPr>
          <w:p w14:paraId="3B0E34FC" w14:textId="77777777" w:rsidR="006C7E47" w:rsidRPr="004812DC" w:rsidRDefault="006C7E47" w:rsidP="006D3B8D">
            <w:pPr>
              <w:suppressAutoHyphens/>
              <w:ind w:left="1553"/>
              <w:rPr>
                <w:rFonts w:cs="Calibri"/>
                <w:szCs w:val="22"/>
              </w:rPr>
            </w:pPr>
            <w:r>
              <w:t>Departments affected</w:t>
            </w:r>
          </w:p>
        </w:tc>
      </w:tr>
      <w:tr w:rsidR="006C7E47" w:rsidRPr="004812DC" w14:paraId="0AB0F27A" w14:textId="77777777" w:rsidTr="001C069A">
        <w:tblPrEx>
          <w:jc w:val="left"/>
        </w:tblPrEx>
        <w:trPr>
          <w:trHeight w:val="23"/>
        </w:trPr>
        <w:tc>
          <w:tcPr>
            <w:tcW w:w="9154" w:type="dxa"/>
            <w:gridSpan w:val="2"/>
            <w:tcBorders>
              <w:top w:val="single" w:sz="4" w:space="0" w:color="auto"/>
              <w:left w:val="single" w:sz="4" w:space="0" w:color="auto"/>
            </w:tcBorders>
            <w:shd w:val="clear" w:color="auto" w:fill="F2F2F2"/>
          </w:tcPr>
          <w:p w14:paraId="22E22C79" w14:textId="1DBCA925" w:rsidR="006C7E47" w:rsidRPr="004812DC" w:rsidRDefault="006C7E47" w:rsidP="004812DC">
            <w:pPr>
              <w:pStyle w:val="Titre2"/>
            </w:pPr>
            <w:r>
              <w:t>Disseminate information to female students about the rights of victims of sexual violence and harassment and the help they can receive</w:t>
            </w:r>
          </w:p>
        </w:tc>
        <w:tc>
          <w:tcPr>
            <w:tcW w:w="5001" w:type="dxa"/>
            <w:gridSpan w:val="3"/>
            <w:tcBorders>
              <w:top w:val="single" w:sz="4" w:space="0" w:color="auto"/>
              <w:left w:val="single" w:sz="4" w:space="0" w:color="auto"/>
            </w:tcBorders>
            <w:shd w:val="clear" w:color="auto" w:fill="FFFFFF"/>
          </w:tcPr>
          <w:p w14:paraId="59D0D447" w14:textId="77777777" w:rsidR="006C7E47" w:rsidRPr="004812DC" w:rsidRDefault="006C7E47" w:rsidP="004812DC">
            <w:pPr>
              <w:suppressAutoHyphens/>
              <w:jc w:val="both"/>
              <w:rPr>
                <w:rFonts w:cs="Calibri"/>
                <w:szCs w:val="22"/>
              </w:rPr>
            </w:pPr>
          </w:p>
        </w:tc>
        <w:tc>
          <w:tcPr>
            <w:tcW w:w="3860" w:type="dxa"/>
            <w:gridSpan w:val="2"/>
            <w:tcBorders>
              <w:top w:val="single" w:sz="4" w:space="0" w:color="auto"/>
              <w:left w:val="single" w:sz="4" w:space="0" w:color="auto"/>
            </w:tcBorders>
            <w:shd w:val="clear" w:color="auto" w:fill="FFFFFF"/>
          </w:tcPr>
          <w:p w14:paraId="3B6C9C15" w14:textId="77777777" w:rsidR="006C7E47" w:rsidRPr="004812DC" w:rsidRDefault="006C7E47" w:rsidP="004812DC">
            <w:pPr>
              <w:suppressAutoHyphens/>
              <w:jc w:val="both"/>
              <w:rPr>
                <w:rFonts w:cs="Calibri"/>
                <w:szCs w:val="22"/>
              </w:rPr>
            </w:pPr>
          </w:p>
        </w:tc>
        <w:tc>
          <w:tcPr>
            <w:tcW w:w="3836" w:type="dxa"/>
            <w:tcBorders>
              <w:top w:val="single" w:sz="4" w:space="0" w:color="auto"/>
              <w:left w:val="single" w:sz="4" w:space="0" w:color="auto"/>
              <w:right w:val="single" w:sz="4" w:space="0" w:color="auto"/>
            </w:tcBorders>
            <w:shd w:val="clear" w:color="auto" w:fill="FFFFFF"/>
          </w:tcPr>
          <w:p w14:paraId="041071A9" w14:textId="77777777" w:rsidR="004812DC" w:rsidRDefault="006C7E47" w:rsidP="004812DC">
            <w:pPr>
              <w:suppressAutoHyphens/>
              <w:jc w:val="both"/>
              <w:rPr>
                <w:rFonts w:cs="Calibri"/>
                <w:szCs w:val="22"/>
              </w:rPr>
            </w:pPr>
            <w:r>
              <w:t>Departments affected</w:t>
            </w:r>
          </w:p>
          <w:p w14:paraId="50ACA7DF" w14:textId="109F8D02" w:rsidR="006C7E47" w:rsidRPr="004812DC" w:rsidRDefault="006C7E47" w:rsidP="004812DC">
            <w:pPr>
              <w:suppressAutoHyphens/>
              <w:jc w:val="both"/>
              <w:rPr>
                <w:rFonts w:cs="Calibri"/>
                <w:szCs w:val="22"/>
              </w:rPr>
            </w:pPr>
            <w:r>
              <w:t>Health and social services, personalised advice and support</w:t>
            </w:r>
          </w:p>
        </w:tc>
      </w:tr>
      <w:tr w:rsidR="006C7E47" w:rsidRPr="004812DC" w14:paraId="79753F8C" w14:textId="77777777" w:rsidTr="001C069A">
        <w:tblPrEx>
          <w:jc w:val="left"/>
        </w:tblPrEx>
        <w:trPr>
          <w:trHeight w:val="23"/>
        </w:trPr>
        <w:tc>
          <w:tcPr>
            <w:tcW w:w="9154" w:type="dxa"/>
            <w:gridSpan w:val="2"/>
            <w:tcBorders>
              <w:top w:val="single" w:sz="4" w:space="0" w:color="auto"/>
              <w:left w:val="single" w:sz="4" w:space="0" w:color="auto"/>
            </w:tcBorders>
            <w:shd w:val="clear" w:color="auto" w:fill="F2F2F2"/>
          </w:tcPr>
          <w:p w14:paraId="4152EB57" w14:textId="59F71018" w:rsidR="006C7E47" w:rsidRPr="004812DC" w:rsidRDefault="006C7E47" w:rsidP="004812DC">
            <w:pPr>
              <w:pStyle w:val="Titre2"/>
            </w:pPr>
            <w:r>
              <w:t>Appoint a female point of contact responsible for providing support to victims and put in place practical arrangements to make it easy to approach her</w:t>
            </w:r>
          </w:p>
        </w:tc>
        <w:tc>
          <w:tcPr>
            <w:tcW w:w="5001" w:type="dxa"/>
            <w:gridSpan w:val="3"/>
            <w:tcBorders>
              <w:top w:val="single" w:sz="4" w:space="0" w:color="auto"/>
              <w:left w:val="single" w:sz="4" w:space="0" w:color="auto"/>
            </w:tcBorders>
            <w:shd w:val="clear" w:color="auto" w:fill="FFFFFF"/>
          </w:tcPr>
          <w:p w14:paraId="251B4B37" w14:textId="77777777" w:rsidR="006C7E47" w:rsidRPr="004812DC" w:rsidRDefault="006C7E47" w:rsidP="004812DC">
            <w:pPr>
              <w:suppressAutoHyphens/>
              <w:jc w:val="both"/>
              <w:rPr>
                <w:rFonts w:cs="Calibri"/>
                <w:szCs w:val="22"/>
              </w:rPr>
            </w:pPr>
          </w:p>
        </w:tc>
        <w:tc>
          <w:tcPr>
            <w:tcW w:w="3860" w:type="dxa"/>
            <w:gridSpan w:val="2"/>
            <w:tcBorders>
              <w:top w:val="single" w:sz="4" w:space="0" w:color="auto"/>
              <w:left w:val="single" w:sz="4" w:space="0" w:color="auto"/>
            </w:tcBorders>
            <w:shd w:val="clear" w:color="auto" w:fill="FFFFFF"/>
          </w:tcPr>
          <w:p w14:paraId="232131F5" w14:textId="77777777" w:rsidR="006C7E47" w:rsidRPr="004812DC" w:rsidRDefault="006C7E47" w:rsidP="004812DC">
            <w:pPr>
              <w:suppressAutoHyphens/>
              <w:jc w:val="both"/>
              <w:rPr>
                <w:rFonts w:cs="Calibri"/>
                <w:szCs w:val="22"/>
              </w:rPr>
            </w:pPr>
          </w:p>
        </w:tc>
        <w:tc>
          <w:tcPr>
            <w:tcW w:w="3836" w:type="dxa"/>
            <w:tcBorders>
              <w:top w:val="single" w:sz="4" w:space="0" w:color="auto"/>
              <w:left w:val="single" w:sz="4" w:space="0" w:color="auto"/>
              <w:right w:val="single" w:sz="4" w:space="0" w:color="auto"/>
            </w:tcBorders>
            <w:shd w:val="clear" w:color="auto" w:fill="FFFFFF"/>
          </w:tcPr>
          <w:p w14:paraId="12EBF212" w14:textId="77777777" w:rsidR="004812DC" w:rsidRDefault="006C7E47" w:rsidP="004812DC">
            <w:pPr>
              <w:suppressAutoHyphens/>
              <w:jc w:val="both"/>
              <w:rPr>
                <w:rFonts w:cs="Calibri"/>
                <w:szCs w:val="22"/>
              </w:rPr>
            </w:pPr>
            <w:r>
              <w:t>Departments affected</w:t>
            </w:r>
          </w:p>
          <w:p w14:paraId="4B864797" w14:textId="69152716" w:rsidR="006C7E47" w:rsidRPr="004812DC" w:rsidRDefault="006C7E47" w:rsidP="004812DC">
            <w:pPr>
              <w:suppressAutoHyphens/>
              <w:jc w:val="both"/>
              <w:rPr>
                <w:rFonts w:cs="Calibri"/>
                <w:szCs w:val="22"/>
              </w:rPr>
            </w:pPr>
            <w:r>
              <w:t>Health and social services, personalised advice and support</w:t>
            </w:r>
          </w:p>
        </w:tc>
      </w:tr>
      <w:tr w:rsidR="006C7E47" w:rsidRPr="004812DC" w14:paraId="4E48BDBE" w14:textId="77777777" w:rsidTr="001C069A">
        <w:tblPrEx>
          <w:jc w:val="left"/>
        </w:tblPrEx>
        <w:trPr>
          <w:trHeight w:val="23"/>
        </w:trPr>
        <w:tc>
          <w:tcPr>
            <w:tcW w:w="9154" w:type="dxa"/>
            <w:gridSpan w:val="2"/>
            <w:tcBorders>
              <w:top w:val="single" w:sz="4" w:space="0" w:color="auto"/>
              <w:left w:val="single" w:sz="4" w:space="0" w:color="auto"/>
            </w:tcBorders>
            <w:shd w:val="clear" w:color="auto" w:fill="F2F2F2"/>
          </w:tcPr>
          <w:p w14:paraId="2213D9F1" w14:textId="7B6A6D46" w:rsidR="006C7E47" w:rsidRPr="004812DC" w:rsidRDefault="006C7E47" w:rsidP="004812DC">
            <w:pPr>
              <w:pStyle w:val="Titre2"/>
              <w:rPr>
                <w:b/>
                <w:bCs/>
                <w:i/>
                <w:iCs/>
              </w:rPr>
            </w:pPr>
            <w:r>
              <w:rPr>
                <w:b/>
                <w:bCs/>
                <w:i/>
                <w:iCs/>
              </w:rPr>
              <w:t xml:space="preserve">Specific reference to the </w:t>
            </w:r>
            <w:proofErr w:type="spellStart"/>
            <w:r>
              <w:rPr>
                <w:b/>
                <w:bCs/>
                <w:i/>
                <w:iCs/>
              </w:rPr>
              <w:t>CGE</w:t>
            </w:r>
            <w:proofErr w:type="spellEnd"/>
            <w:r>
              <w:rPr>
                <w:b/>
                <w:bCs/>
                <w:i/>
                <w:iCs/>
              </w:rPr>
              <w:t>:</w:t>
            </w:r>
          </w:p>
          <w:p w14:paraId="6E9CC498" w14:textId="77777777" w:rsidR="006C7E47" w:rsidRPr="004812DC" w:rsidRDefault="006C7E47" w:rsidP="004812DC">
            <w:pPr>
              <w:suppressAutoHyphens/>
              <w:jc w:val="both"/>
              <w:rPr>
                <w:rFonts w:cs="Calibri"/>
                <w:szCs w:val="22"/>
              </w:rPr>
            </w:pPr>
            <w:r>
              <w:t>Make sure gender equality is applied in the activities of female students (social, educational)</w:t>
            </w:r>
          </w:p>
        </w:tc>
        <w:tc>
          <w:tcPr>
            <w:tcW w:w="5001" w:type="dxa"/>
            <w:gridSpan w:val="3"/>
            <w:tcBorders>
              <w:top w:val="single" w:sz="4" w:space="0" w:color="auto"/>
              <w:left w:val="single" w:sz="4" w:space="0" w:color="auto"/>
            </w:tcBorders>
            <w:shd w:val="clear" w:color="auto" w:fill="FFFFFF"/>
          </w:tcPr>
          <w:p w14:paraId="0F2EF774" w14:textId="77777777" w:rsidR="006C7E47" w:rsidRPr="004812DC" w:rsidRDefault="006C7E47" w:rsidP="004812DC">
            <w:pPr>
              <w:suppressAutoHyphens/>
              <w:jc w:val="both"/>
              <w:rPr>
                <w:rFonts w:cs="Calibri"/>
                <w:szCs w:val="22"/>
              </w:rPr>
            </w:pPr>
          </w:p>
        </w:tc>
        <w:tc>
          <w:tcPr>
            <w:tcW w:w="3860" w:type="dxa"/>
            <w:gridSpan w:val="2"/>
            <w:tcBorders>
              <w:top w:val="single" w:sz="4" w:space="0" w:color="auto"/>
              <w:left w:val="single" w:sz="4" w:space="0" w:color="auto"/>
            </w:tcBorders>
            <w:shd w:val="clear" w:color="auto" w:fill="FFFFFF"/>
          </w:tcPr>
          <w:p w14:paraId="17D7D6EA" w14:textId="77777777" w:rsidR="006C7E47" w:rsidRPr="004812DC" w:rsidRDefault="006C7E47" w:rsidP="004812DC">
            <w:pPr>
              <w:suppressAutoHyphens/>
              <w:jc w:val="both"/>
              <w:rPr>
                <w:rFonts w:cs="Calibri"/>
                <w:color w:val="0070C0"/>
                <w:szCs w:val="22"/>
              </w:rPr>
            </w:pPr>
            <w:r>
              <w:rPr>
                <w:color w:val="0070C0"/>
                <w:szCs w:val="22"/>
              </w:rPr>
              <w:t xml:space="preserve">Training plan for </w:t>
            </w:r>
            <w:proofErr w:type="spellStart"/>
            <w:r>
              <w:rPr>
                <w:color w:val="0070C0"/>
                <w:szCs w:val="22"/>
              </w:rPr>
              <w:t>INSA</w:t>
            </w:r>
            <w:proofErr w:type="spellEnd"/>
            <w:r>
              <w:rPr>
                <w:color w:val="0070C0"/>
                <w:szCs w:val="22"/>
              </w:rPr>
              <w:t xml:space="preserve"> society leaders and the establishment of a gendered statistical review</w:t>
            </w:r>
          </w:p>
        </w:tc>
        <w:tc>
          <w:tcPr>
            <w:tcW w:w="3836" w:type="dxa"/>
            <w:tcBorders>
              <w:top w:val="single" w:sz="4" w:space="0" w:color="auto"/>
              <w:left w:val="single" w:sz="4" w:space="0" w:color="auto"/>
              <w:right w:val="single" w:sz="4" w:space="0" w:color="auto"/>
            </w:tcBorders>
            <w:shd w:val="clear" w:color="auto" w:fill="FFFFFF"/>
          </w:tcPr>
          <w:p w14:paraId="4E5C8435" w14:textId="77777777" w:rsidR="006C7E47" w:rsidRPr="004812DC" w:rsidRDefault="006C7E47" w:rsidP="004812DC">
            <w:pPr>
              <w:suppressAutoHyphens/>
              <w:jc w:val="both"/>
              <w:rPr>
                <w:rFonts w:cs="Calibri"/>
                <w:szCs w:val="22"/>
              </w:rPr>
            </w:pPr>
          </w:p>
        </w:tc>
      </w:tr>
      <w:tr w:rsidR="004812DC" w:rsidRPr="004812DC" w14:paraId="064BD4A7" w14:textId="77777777" w:rsidTr="001C069A">
        <w:tblPrEx>
          <w:jc w:val="left"/>
        </w:tblPrEx>
        <w:trPr>
          <w:trHeight w:val="23"/>
        </w:trPr>
        <w:tc>
          <w:tcPr>
            <w:tcW w:w="14155" w:type="dxa"/>
            <w:gridSpan w:val="5"/>
            <w:tcBorders>
              <w:top w:val="single" w:sz="4" w:space="0" w:color="auto"/>
              <w:left w:val="single" w:sz="4" w:space="0" w:color="auto"/>
            </w:tcBorders>
            <w:shd w:val="clear" w:color="auto" w:fill="F2F2F2"/>
          </w:tcPr>
          <w:p w14:paraId="57A40FB8" w14:textId="78E147B4" w:rsidR="006C7E47" w:rsidRPr="004812DC" w:rsidRDefault="006C7E47" w:rsidP="004812DC">
            <w:pPr>
              <w:pStyle w:val="Titre1"/>
            </w:pPr>
            <w:r>
              <w:t>STAFF MEMBERS</w:t>
            </w:r>
          </w:p>
        </w:tc>
        <w:tc>
          <w:tcPr>
            <w:tcW w:w="3860" w:type="dxa"/>
            <w:gridSpan w:val="2"/>
            <w:tcBorders>
              <w:top w:val="single" w:sz="4" w:space="0" w:color="auto"/>
              <w:left w:val="single" w:sz="4" w:space="0" w:color="auto"/>
            </w:tcBorders>
            <w:shd w:val="clear" w:color="auto" w:fill="F2F2F2"/>
          </w:tcPr>
          <w:p w14:paraId="4BFBDCAF" w14:textId="77777777" w:rsidR="006C7E47" w:rsidRPr="004812DC" w:rsidRDefault="006C7E47" w:rsidP="004812DC">
            <w:pPr>
              <w:suppressAutoHyphens/>
              <w:jc w:val="both"/>
              <w:rPr>
                <w:rFonts w:cs="Calibri"/>
                <w:szCs w:val="22"/>
              </w:rPr>
            </w:pPr>
          </w:p>
        </w:tc>
        <w:tc>
          <w:tcPr>
            <w:tcW w:w="3836" w:type="dxa"/>
            <w:tcBorders>
              <w:top w:val="single" w:sz="4" w:space="0" w:color="auto"/>
              <w:left w:val="single" w:sz="4" w:space="0" w:color="auto"/>
              <w:right w:val="single" w:sz="4" w:space="0" w:color="auto"/>
            </w:tcBorders>
            <w:shd w:val="clear" w:color="auto" w:fill="F2F2F2"/>
          </w:tcPr>
          <w:p w14:paraId="184E136C" w14:textId="77777777" w:rsidR="006C7E47" w:rsidRPr="004812DC" w:rsidRDefault="006C7E47" w:rsidP="004812DC">
            <w:pPr>
              <w:suppressAutoHyphens/>
              <w:jc w:val="both"/>
              <w:rPr>
                <w:rFonts w:cs="Calibri"/>
                <w:szCs w:val="22"/>
              </w:rPr>
            </w:pPr>
          </w:p>
        </w:tc>
      </w:tr>
      <w:tr w:rsidR="006C7E47" w:rsidRPr="004812DC" w14:paraId="73AD82D6" w14:textId="77777777" w:rsidTr="001C069A">
        <w:tblPrEx>
          <w:jc w:val="left"/>
        </w:tblPrEx>
        <w:trPr>
          <w:trHeight w:val="23"/>
        </w:trPr>
        <w:tc>
          <w:tcPr>
            <w:tcW w:w="9154" w:type="dxa"/>
            <w:gridSpan w:val="2"/>
            <w:tcBorders>
              <w:top w:val="single" w:sz="4" w:space="0" w:color="auto"/>
              <w:left w:val="single" w:sz="4" w:space="0" w:color="auto"/>
            </w:tcBorders>
            <w:shd w:val="clear" w:color="auto" w:fill="F2F2F2"/>
          </w:tcPr>
          <w:p w14:paraId="2629C9E9" w14:textId="15E79BD2" w:rsidR="006C7E47" w:rsidRPr="004812DC" w:rsidRDefault="006C7E47" w:rsidP="004812DC">
            <w:pPr>
              <w:pStyle w:val="Titre2"/>
            </w:pPr>
            <w:r>
              <w:t>Promote the proportional representation of women and men in all bodies, at all levels, for all categories and strive for parity</w:t>
            </w:r>
          </w:p>
        </w:tc>
        <w:tc>
          <w:tcPr>
            <w:tcW w:w="5001" w:type="dxa"/>
            <w:gridSpan w:val="3"/>
            <w:tcBorders>
              <w:top w:val="single" w:sz="4" w:space="0" w:color="auto"/>
              <w:left w:val="single" w:sz="4" w:space="0" w:color="auto"/>
            </w:tcBorders>
            <w:shd w:val="clear" w:color="auto" w:fill="FFFFFF"/>
          </w:tcPr>
          <w:p w14:paraId="2C33AED0" w14:textId="77777777" w:rsidR="006C7E47" w:rsidRPr="004812DC" w:rsidRDefault="006C7E47" w:rsidP="004812DC">
            <w:pPr>
              <w:suppressAutoHyphens/>
              <w:jc w:val="both"/>
              <w:rPr>
                <w:rFonts w:cs="Calibri"/>
                <w:szCs w:val="22"/>
              </w:rPr>
            </w:pPr>
          </w:p>
        </w:tc>
        <w:tc>
          <w:tcPr>
            <w:tcW w:w="3860" w:type="dxa"/>
            <w:gridSpan w:val="2"/>
            <w:tcBorders>
              <w:top w:val="single" w:sz="4" w:space="0" w:color="auto"/>
              <w:left w:val="single" w:sz="4" w:space="0" w:color="auto"/>
            </w:tcBorders>
            <w:shd w:val="clear" w:color="auto" w:fill="FFFFFF"/>
          </w:tcPr>
          <w:p w14:paraId="55C619C2" w14:textId="77777777" w:rsidR="006C7E47" w:rsidRPr="004812DC" w:rsidRDefault="006C7E47" w:rsidP="004812DC">
            <w:pPr>
              <w:suppressAutoHyphens/>
              <w:jc w:val="both"/>
              <w:rPr>
                <w:rFonts w:cs="Calibri"/>
                <w:szCs w:val="22"/>
              </w:rPr>
            </w:pPr>
          </w:p>
        </w:tc>
        <w:tc>
          <w:tcPr>
            <w:tcW w:w="3836" w:type="dxa"/>
            <w:tcBorders>
              <w:top w:val="single" w:sz="4" w:space="0" w:color="auto"/>
              <w:left w:val="single" w:sz="4" w:space="0" w:color="auto"/>
              <w:right w:val="single" w:sz="4" w:space="0" w:color="auto"/>
            </w:tcBorders>
            <w:shd w:val="clear" w:color="auto" w:fill="FFFFFF"/>
          </w:tcPr>
          <w:p w14:paraId="2BD70A29" w14:textId="77777777" w:rsidR="006C7E47" w:rsidRPr="004812DC" w:rsidRDefault="006C7E47" w:rsidP="004812DC">
            <w:pPr>
              <w:suppressAutoHyphens/>
              <w:ind w:left="567"/>
              <w:jc w:val="both"/>
              <w:rPr>
                <w:rFonts w:cs="Calibri"/>
                <w:szCs w:val="22"/>
              </w:rPr>
            </w:pPr>
            <w:proofErr w:type="spellStart"/>
            <w:r>
              <w:t>HRD</w:t>
            </w:r>
            <w:proofErr w:type="spellEnd"/>
          </w:p>
        </w:tc>
      </w:tr>
      <w:tr w:rsidR="006C7E47" w:rsidRPr="004812DC" w14:paraId="1ED5DB96" w14:textId="77777777" w:rsidTr="001C069A">
        <w:tblPrEx>
          <w:jc w:val="left"/>
        </w:tblPrEx>
        <w:trPr>
          <w:trHeight w:val="23"/>
        </w:trPr>
        <w:tc>
          <w:tcPr>
            <w:tcW w:w="9154" w:type="dxa"/>
            <w:gridSpan w:val="2"/>
            <w:tcBorders>
              <w:top w:val="single" w:sz="4" w:space="0" w:color="auto"/>
              <w:left w:val="single" w:sz="4" w:space="0" w:color="auto"/>
            </w:tcBorders>
            <w:shd w:val="clear" w:color="auto" w:fill="F2F2F2"/>
          </w:tcPr>
          <w:p w14:paraId="62813191" w14:textId="7EDEBECF" w:rsidR="006C7E47" w:rsidRPr="004812DC" w:rsidRDefault="006C7E47" w:rsidP="004812DC">
            <w:pPr>
              <w:pStyle w:val="Titre2"/>
            </w:pPr>
            <w:r>
              <w:t>Encourage staff in all categories to participate in awareness-raising or training activities on gender equality</w:t>
            </w:r>
          </w:p>
        </w:tc>
        <w:tc>
          <w:tcPr>
            <w:tcW w:w="5001" w:type="dxa"/>
            <w:gridSpan w:val="3"/>
            <w:tcBorders>
              <w:top w:val="single" w:sz="4" w:space="0" w:color="auto"/>
              <w:left w:val="single" w:sz="4" w:space="0" w:color="auto"/>
            </w:tcBorders>
            <w:shd w:val="clear" w:color="auto" w:fill="FFFFFF"/>
          </w:tcPr>
          <w:p w14:paraId="11578230" w14:textId="77777777" w:rsidR="006C7E47" w:rsidRPr="004812DC" w:rsidRDefault="006C7E47" w:rsidP="004812DC">
            <w:pPr>
              <w:suppressAutoHyphens/>
              <w:jc w:val="both"/>
              <w:rPr>
                <w:rFonts w:cs="Calibri"/>
                <w:szCs w:val="22"/>
              </w:rPr>
            </w:pPr>
          </w:p>
        </w:tc>
        <w:tc>
          <w:tcPr>
            <w:tcW w:w="3860" w:type="dxa"/>
            <w:gridSpan w:val="2"/>
            <w:tcBorders>
              <w:top w:val="single" w:sz="4" w:space="0" w:color="auto"/>
              <w:left w:val="single" w:sz="4" w:space="0" w:color="auto"/>
            </w:tcBorders>
            <w:shd w:val="clear" w:color="auto" w:fill="FFFFFF"/>
          </w:tcPr>
          <w:p w14:paraId="652A1E3D" w14:textId="77777777" w:rsidR="006C7E47" w:rsidRPr="004812DC" w:rsidRDefault="006C7E47" w:rsidP="004812DC">
            <w:pPr>
              <w:suppressAutoHyphens/>
              <w:jc w:val="both"/>
              <w:rPr>
                <w:rFonts w:cs="Calibri"/>
                <w:szCs w:val="22"/>
              </w:rPr>
            </w:pPr>
          </w:p>
        </w:tc>
        <w:tc>
          <w:tcPr>
            <w:tcW w:w="3836" w:type="dxa"/>
            <w:tcBorders>
              <w:top w:val="single" w:sz="4" w:space="0" w:color="auto"/>
              <w:left w:val="single" w:sz="4" w:space="0" w:color="auto"/>
              <w:right w:val="single" w:sz="4" w:space="0" w:color="auto"/>
            </w:tcBorders>
            <w:shd w:val="clear" w:color="auto" w:fill="FFFFFF"/>
          </w:tcPr>
          <w:p w14:paraId="1BD6E9D9" w14:textId="77777777" w:rsidR="006C7E47" w:rsidRPr="004812DC" w:rsidRDefault="006C7E47" w:rsidP="004812DC">
            <w:pPr>
              <w:suppressAutoHyphens/>
              <w:ind w:left="567"/>
              <w:jc w:val="both"/>
              <w:rPr>
                <w:rFonts w:cs="Calibri"/>
                <w:szCs w:val="22"/>
              </w:rPr>
            </w:pPr>
            <w:proofErr w:type="spellStart"/>
            <w:r>
              <w:t>HRD</w:t>
            </w:r>
            <w:proofErr w:type="spellEnd"/>
          </w:p>
        </w:tc>
      </w:tr>
      <w:tr w:rsidR="006C7E47" w:rsidRPr="004812DC" w14:paraId="7161D84A" w14:textId="77777777" w:rsidTr="001C069A">
        <w:tblPrEx>
          <w:jc w:val="left"/>
        </w:tblPrEx>
        <w:trPr>
          <w:trHeight w:val="23"/>
        </w:trPr>
        <w:tc>
          <w:tcPr>
            <w:tcW w:w="9154" w:type="dxa"/>
            <w:gridSpan w:val="2"/>
            <w:tcBorders>
              <w:top w:val="single" w:sz="4" w:space="0" w:color="auto"/>
              <w:left w:val="single" w:sz="4" w:space="0" w:color="auto"/>
            </w:tcBorders>
            <w:shd w:val="clear" w:color="auto" w:fill="F2F2F2"/>
          </w:tcPr>
          <w:p w14:paraId="0D55D459" w14:textId="323203D0" w:rsidR="006C7E47" w:rsidRPr="004812DC" w:rsidRDefault="006C7E47" w:rsidP="004812DC">
            <w:pPr>
              <w:pStyle w:val="Titre2"/>
            </w:pPr>
            <w:r>
              <w:t>Inform affected staff, as well as the management of departments, of the rights and responsibilities of each of them with regard to maternity or paternity leave, parental leave and the right to work part-time</w:t>
            </w:r>
          </w:p>
        </w:tc>
        <w:tc>
          <w:tcPr>
            <w:tcW w:w="5001" w:type="dxa"/>
            <w:gridSpan w:val="3"/>
            <w:tcBorders>
              <w:top w:val="single" w:sz="4" w:space="0" w:color="auto"/>
              <w:left w:val="single" w:sz="4" w:space="0" w:color="auto"/>
            </w:tcBorders>
            <w:shd w:val="clear" w:color="auto" w:fill="FFFFFF"/>
          </w:tcPr>
          <w:p w14:paraId="30C01F6B" w14:textId="77777777" w:rsidR="006C7E47" w:rsidRPr="004812DC" w:rsidRDefault="006C7E47" w:rsidP="004812DC">
            <w:pPr>
              <w:suppressAutoHyphens/>
              <w:jc w:val="both"/>
              <w:rPr>
                <w:rFonts w:cs="Calibri"/>
                <w:szCs w:val="22"/>
              </w:rPr>
            </w:pPr>
          </w:p>
        </w:tc>
        <w:tc>
          <w:tcPr>
            <w:tcW w:w="3860" w:type="dxa"/>
            <w:gridSpan w:val="2"/>
            <w:tcBorders>
              <w:top w:val="single" w:sz="4" w:space="0" w:color="auto"/>
              <w:left w:val="single" w:sz="4" w:space="0" w:color="auto"/>
            </w:tcBorders>
            <w:shd w:val="clear" w:color="auto" w:fill="FFFFFF"/>
          </w:tcPr>
          <w:p w14:paraId="5582117A" w14:textId="77777777" w:rsidR="006C7E47" w:rsidRPr="004812DC" w:rsidRDefault="006C7E47" w:rsidP="004812DC">
            <w:pPr>
              <w:suppressAutoHyphens/>
              <w:jc w:val="both"/>
              <w:rPr>
                <w:rFonts w:cs="Calibri"/>
                <w:szCs w:val="22"/>
              </w:rPr>
            </w:pPr>
          </w:p>
        </w:tc>
        <w:tc>
          <w:tcPr>
            <w:tcW w:w="3836" w:type="dxa"/>
            <w:tcBorders>
              <w:top w:val="single" w:sz="4" w:space="0" w:color="auto"/>
              <w:left w:val="single" w:sz="4" w:space="0" w:color="auto"/>
              <w:right w:val="single" w:sz="4" w:space="0" w:color="auto"/>
            </w:tcBorders>
            <w:shd w:val="clear" w:color="auto" w:fill="FFFFFF"/>
          </w:tcPr>
          <w:p w14:paraId="79E56BB4" w14:textId="77777777" w:rsidR="006C7E47" w:rsidRPr="004812DC" w:rsidRDefault="006C7E47" w:rsidP="004812DC">
            <w:pPr>
              <w:suppressAutoHyphens/>
              <w:ind w:left="567"/>
              <w:jc w:val="both"/>
              <w:rPr>
                <w:rFonts w:cs="Calibri"/>
                <w:szCs w:val="22"/>
              </w:rPr>
            </w:pPr>
            <w:proofErr w:type="spellStart"/>
            <w:r>
              <w:t>HRD</w:t>
            </w:r>
            <w:proofErr w:type="spellEnd"/>
          </w:p>
        </w:tc>
      </w:tr>
      <w:tr w:rsidR="006C7E47" w:rsidRPr="004812DC" w14:paraId="67AAF569" w14:textId="77777777" w:rsidTr="001C069A">
        <w:tblPrEx>
          <w:jc w:val="left"/>
        </w:tblPrEx>
        <w:trPr>
          <w:trHeight w:val="23"/>
        </w:trPr>
        <w:tc>
          <w:tcPr>
            <w:tcW w:w="9154" w:type="dxa"/>
            <w:gridSpan w:val="2"/>
            <w:tcBorders>
              <w:top w:val="single" w:sz="4" w:space="0" w:color="auto"/>
              <w:left w:val="single" w:sz="4" w:space="0" w:color="auto"/>
            </w:tcBorders>
            <w:shd w:val="clear" w:color="auto" w:fill="F2F2F2"/>
          </w:tcPr>
          <w:p w14:paraId="51B3917B" w14:textId="28EC44EA" w:rsidR="006C7E47" w:rsidRPr="004812DC" w:rsidRDefault="006C7E47" w:rsidP="004812DC">
            <w:pPr>
              <w:pStyle w:val="Titre2"/>
            </w:pPr>
            <w:r>
              <w:t xml:space="preserve">Make sure staff are not penalised in their careers because of maternity (and other circumstances: single-parent families, disabled children, etc.) and in particular take into </w:t>
            </w:r>
            <w:r>
              <w:lastRenderedPageBreak/>
              <w:t>account the consequences of maternity for the career development of female lecturers and researchers.</w:t>
            </w:r>
          </w:p>
        </w:tc>
        <w:tc>
          <w:tcPr>
            <w:tcW w:w="5001" w:type="dxa"/>
            <w:gridSpan w:val="3"/>
            <w:tcBorders>
              <w:top w:val="single" w:sz="4" w:space="0" w:color="auto"/>
              <w:left w:val="single" w:sz="4" w:space="0" w:color="auto"/>
            </w:tcBorders>
            <w:shd w:val="clear" w:color="auto" w:fill="FFFFFF"/>
          </w:tcPr>
          <w:p w14:paraId="70E10C99" w14:textId="77777777" w:rsidR="006C7E47" w:rsidRPr="004812DC" w:rsidRDefault="006C7E47" w:rsidP="004812DC">
            <w:pPr>
              <w:suppressAutoHyphens/>
              <w:jc w:val="both"/>
              <w:rPr>
                <w:rFonts w:cs="Calibri"/>
                <w:szCs w:val="22"/>
              </w:rPr>
            </w:pPr>
          </w:p>
        </w:tc>
        <w:tc>
          <w:tcPr>
            <w:tcW w:w="3860" w:type="dxa"/>
            <w:gridSpan w:val="2"/>
            <w:tcBorders>
              <w:top w:val="single" w:sz="4" w:space="0" w:color="auto"/>
              <w:left w:val="single" w:sz="4" w:space="0" w:color="auto"/>
            </w:tcBorders>
            <w:shd w:val="clear" w:color="auto" w:fill="FFFFFF"/>
          </w:tcPr>
          <w:p w14:paraId="04AD3F86" w14:textId="77777777" w:rsidR="006C7E47" w:rsidRPr="004812DC" w:rsidRDefault="006C7E47" w:rsidP="004812DC">
            <w:pPr>
              <w:suppressAutoHyphens/>
              <w:jc w:val="both"/>
              <w:rPr>
                <w:rFonts w:cs="Calibri"/>
                <w:szCs w:val="22"/>
              </w:rPr>
            </w:pPr>
          </w:p>
        </w:tc>
        <w:tc>
          <w:tcPr>
            <w:tcW w:w="3836" w:type="dxa"/>
            <w:tcBorders>
              <w:top w:val="single" w:sz="4" w:space="0" w:color="auto"/>
              <w:left w:val="single" w:sz="4" w:space="0" w:color="auto"/>
              <w:right w:val="single" w:sz="4" w:space="0" w:color="auto"/>
            </w:tcBorders>
            <w:shd w:val="clear" w:color="auto" w:fill="FFFFFF"/>
          </w:tcPr>
          <w:p w14:paraId="056AA790" w14:textId="77777777" w:rsidR="006C7E47" w:rsidRPr="004812DC" w:rsidRDefault="006C7E47" w:rsidP="004812DC">
            <w:pPr>
              <w:suppressAutoHyphens/>
              <w:ind w:left="567"/>
              <w:jc w:val="both"/>
              <w:rPr>
                <w:rFonts w:cs="Calibri"/>
                <w:szCs w:val="22"/>
              </w:rPr>
            </w:pPr>
            <w:proofErr w:type="spellStart"/>
            <w:r>
              <w:t>HRD</w:t>
            </w:r>
            <w:proofErr w:type="spellEnd"/>
          </w:p>
        </w:tc>
      </w:tr>
      <w:tr w:rsidR="006C7E47" w:rsidRPr="004812DC" w14:paraId="7A93E610" w14:textId="77777777" w:rsidTr="001C069A">
        <w:tblPrEx>
          <w:jc w:val="left"/>
        </w:tblPrEx>
        <w:trPr>
          <w:trHeight w:val="23"/>
        </w:trPr>
        <w:tc>
          <w:tcPr>
            <w:tcW w:w="9154" w:type="dxa"/>
            <w:gridSpan w:val="2"/>
            <w:tcBorders>
              <w:top w:val="single" w:sz="4" w:space="0" w:color="auto"/>
              <w:left w:val="single" w:sz="4" w:space="0" w:color="auto"/>
              <w:bottom w:val="single" w:sz="4" w:space="0" w:color="auto"/>
            </w:tcBorders>
            <w:shd w:val="clear" w:color="auto" w:fill="F2F2F2"/>
          </w:tcPr>
          <w:p w14:paraId="24959C88" w14:textId="77777777" w:rsidR="006C7E47" w:rsidRPr="004812DC" w:rsidRDefault="006C7E47" w:rsidP="004812DC">
            <w:pPr>
              <w:suppressAutoHyphens/>
              <w:jc w:val="both"/>
              <w:rPr>
                <w:rFonts w:cs="Calibri"/>
                <w:b/>
                <w:bCs/>
                <w:i/>
                <w:iCs/>
                <w:color w:val="00B050"/>
                <w:szCs w:val="22"/>
              </w:rPr>
            </w:pPr>
            <w:r>
              <w:rPr>
                <w:b/>
                <w:bCs/>
                <w:i/>
                <w:iCs/>
                <w:color w:val="00B050"/>
                <w:szCs w:val="22"/>
              </w:rPr>
              <w:t>Reference to the fight against sexual harassment</w:t>
            </w:r>
          </w:p>
          <w:p w14:paraId="1AA2C9A7" w14:textId="77777777" w:rsidR="006C7E47" w:rsidRPr="004812DC" w:rsidRDefault="006C7E47" w:rsidP="004812DC">
            <w:pPr>
              <w:suppressAutoHyphens/>
              <w:jc w:val="both"/>
              <w:rPr>
                <w:rFonts w:cs="Calibri"/>
                <w:szCs w:val="22"/>
              </w:rPr>
            </w:pPr>
            <w:r>
              <w:t xml:space="preserve">Adopt a system to prevent and address harassment and sexist, sexual </w:t>
            </w:r>
            <w:r>
              <w:rPr>
                <w:b/>
                <w:i/>
                <w:color w:val="FF0000"/>
                <w:szCs w:val="22"/>
              </w:rPr>
              <w:t>and LGBT-phobic violence</w:t>
            </w:r>
            <w:r>
              <w:t>,</w:t>
            </w:r>
          </w:p>
          <w:p w14:paraId="721EC0A4" w14:textId="77777777" w:rsidR="006C7E47" w:rsidRPr="004812DC" w:rsidRDefault="006C7E47" w:rsidP="004812DC">
            <w:pPr>
              <w:suppressAutoHyphens/>
              <w:jc w:val="both"/>
              <w:rPr>
                <w:rFonts w:cs="Calibri"/>
                <w:szCs w:val="22"/>
              </w:rPr>
            </w:pPr>
            <w:r>
              <w:t xml:space="preserve">especially </w:t>
            </w:r>
            <w:proofErr w:type="spellStart"/>
            <w:r>
              <w:t>cybersexism</w:t>
            </w:r>
            <w:proofErr w:type="spellEnd"/>
            <w:r>
              <w:t xml:space="preserve"> and gender-related cyberviolence.</w:t>
            </w:r>
          </w:p>
        </w:tc>
        <w:tc>
          <w:tcPr>
            <w:tcW w:w="5001" w:type="dxa"/>
            <w:gridSpan w:val="3"/>
            <w:tcBorders>
              <w:top w:val="single" w:sz="4" w:space="0" w:color="auto"/>
              <w:left w:val="single" w:sz="4" w:space="0" w:color="auto"/>
              <w:bottom w:val="single" w:sz="4" w:space="0" w:color="auto"/>
            </w:tcBorders>
            <w:shd w:val="clear" w:color="auto" w:fill="FFFFFF"/>
          </w:tcPr>
          <w:p w14:paraId="20D13D87" w14:textId="77777777" w:rsidR="006C7E47" w:rsidRPr="004812DC" w:rsidRDefault="006C7E47" w:rsidP="004812DC">
            <w:pPr>
              <w:suppressAutoHyphens/>
              <w:jc w:val="both"/>
              <w:rPr>
                <w:rFonts w:cs="Calibri"/>
                <w:szCs w:val="22"/>
              </w:rPr>
            </w:pPr>
          </w:p>
        </w:tc>
        <w:tc>
          <w:tcPr>
            <w:tcW w:w="3860" w:type="dxa"/>
            <w:gridSpan w:val="2"/>
            <w:tcBorders>
              <w:top w:val="single" w:sz="4" w:space="0" w:color="auto"/>
              <w:left w:val="single" w:sz="4" w:space="0" w:color="auto"/>
              <w:bottom w:val="single" w:sz="4" w:space="0" w:color="auto"/>
            </w:tcBorders>
            <w:shd w:val="clear" w:color="auto" w:fill="FFFFFF"/>
          </w:tcPr>
          <w:p w14:paraId="163237E4" w14:textId="77777777" w:rsidR="006C7E47" w:rsidRPr="004812DC" w:rsidRDefault="006C7E47" w:rsidP="004812DC">
            <w:pPr>
              <w:suppressAutoHyphens/>
              <w:jc w:val="both"/>
              <w:rPr>
                <w:rFonts w:cs="Calibri"/>
                <w:szCs w:val="22"/>
              </w:rPr>
            </w:pPr>
          </w:p>
        </w:tc>
        <w:tc>
          <w:tcPr>
            <w:tcW w:w="3836" w:type="dxa"/>
            <w:tcBorders>
              <w:top w:val="single" w:sz="4" w:space="0" w:color="auto"/>
              <w:left w:val="single" w:sz="4" w:space="0" w:color="auto"/>
              <w:bottom w:val="single" w:sz="4" w:space="0" w:color="auto"/>
              <w:right w:val="single" w:sz="4" w:space="0" w:color="auto"/>
            </w:tcBorders>
            <w:shd w:val="clear" w:color="auto" w:fill="FFFFFF"/>
          </w:tcPr>
          <w:p w14:paraId="1F96E31F" w14:textId="77777777" w:rsidR="006C7E47" w:rsidRPr="004812DC" w:rsidRDefault="006C7E47" w:rsidP="004812DC">
            <w:pPr>
              <w:suppressAutoHyphens/>
              <w:jc w:val="both"/>
              <w:rPr>
                <w:rFonts w:cs="Calibri"/>
                <w:szCs w:val="22"/>
              </w:rPr>
            </w:pPr>
          </w:p>
        </w:tc>
      </w:tr>
      <w:tr w:rsidR="006C7E47" w:rsidRPr="001C069A" w14:paraId="3420620B" w14:textId="77777777" w:rsidTr="001C069A">
        <w:tblPrEx>
          <w:jc w:val="left"/>
        </w:tblPrEx>
        <w:trPr>
          <w:trHeight w:val="23"/>
        </w:trPr>
        <w:tc>
          <w:tcPr>
            <w:tcW w:w="9143" w:type="dxa"/>
            <w:tcBorders>
              <w:top w:val="single" w:sz="4" w:space="0" w:color="auto"/>
              <w:left w:val="single" w:sz="4" w:space="0" w:color="auto"/>
            </w:tcBorders>
            <w:shd w:val="clear" w:color="auto" w:fill="F2F2F2"/>
          </w:tcPr>
          <w:p w14:paraId="20F84EB8" w14:textId="36F6BECE" w:rsidR="006C7E47" w:rsidRPr="001C069A" w:rsidRDefault="006C7E47" w:rsidP="001C069A">
            <w:pPr>
              <w:pStyle w:val="Titre2"/>
            </w:pPr>
            <w:r>
              <w:t>Disseminate widely to staff and the management of departments information on the rights of victims of harassment and the help they can receive, and in general be vigilant with regard to situations that could potentially lead to violence.</w:t>
            </w:r>
          </w:p>
        </w:tc>
        <w:tc>
          <w:tcPr>
            <w:tcW w:w="4996" w:type="dxa"/>
            <w:gridSpan w:val="2"/>
            <w:tcBorders>
              <w:top w:val="single" w:sz="4" w:space="0" w:color="auto"/>
              <w:left w:val="single" w:sz="4" w:space="0" w:color="auto"/>
            </w:tcBorders>
            <w:shd w:val="clear" w:color="auto" w:fill="FFFFFF"/>
          </w:tcPr>
          <w:p w14:paraId="70F0A6F5" w14:textId="77777777" w:rsidR="006C7E47" w:rsidRPr="001C069A" w:rsidRDefault="006C7E47" w:rsidP="001C069A">
            <w:pPr>
              <w:suppressAutoHyphens/>
              <w:jc w:val="both"/>
              <w:rPr>
                <w:rFonts w:cs="Calibri"/>
                <w:szCs w:val="22"/>
              </w:rPr>
            </w:pPr>
          </w:p>
        </w:tc>
        <w:tc>
          <w:tcPr>
            <w:tcW w:w="3856" w:type="dxa"/>
            <w:gridSpan w:val="3"/>
            <w:tcBorders>
              <w:top w:val="single" w:sz="4" w:space="0" w:color="auto"/>
              <w:left w:val="single" w:sz="4" w:space="0" w:color="auto"/>
            </w:tcBorders>
            <w:shd w:val="clear" w:color="auto" w:fill="FFFFFF"/>
          </w:tcPr>
          <w:p w14:paraId="5B41F518" w14:textId="77777777" w:rsidR="006C7E47" w:rsidRPr="001C069A" w:rsidRDefault="006C7E47" w:rsidP="001C069A">
            <w:pPr>
              <w:suppressAutoHyphens/>
              <w:jc w:val="both"/>
              <w:rPr>
                <w:rFonts w:cs="Calibri"/>
                <w:szCs w:val="22"/>
              </w:rPr>
            </w:pPr>
          </w:p>
        </w:tc>
        <w:tc>
          <w:tcPr>
            <w:tcW w:w="3856" w:type="dxa"/>
            <w:gridSpan w:val="2"/>
            <w:tcBorders>
              <w:top w:val="single" w:sz="4" w:space="0" w:color="auto"/>
              <w:left w:val="single" w:sz="4" w:space="0" w:color="auto"/>
              <w:right w:val="single" w:sz="4" w:space="0" w:color="auto"/>
            </w:tcBorders>
            <w:shd w:val="clear" w:color="auto" w:fill="FFFFFF"/>
          </w:tcPr>
          <w:p w14:paraId="0C648FBC" w14:textId="77777777" w:rsidR="006C7E47" w:rsidRPr="001C069A" w:rsidRDefault="006C7E47" w:rsidP="001C069A">
            <w:pPr>
              <w:suppressAutoHyphens/>
              <w:jc w:val="both"/>
              <w:rPr>
                <w:rFonts w:cs="Calibri"/>
                <w:szCs w:val="22"/>
              </w:rPr>
            </w:pPr>
            <w:proofErr w:type="spellStart"/>
            <w:r>
              <w:t>HRD</w:t>
            </w:r>
            <w:proofErr w:type="spellEnd"/>
            <w:r>
              <w:t xml:space="preserve"> - </w:t>
            </w:r>
            <w:proofErr w:type="spellStart"/>
            <w:r>
              <w:t>CHSCT</w:t>
            </w:r>
            <w:proofErr w:type="spellEnd"/>
            <w:r>
              <w:t xml:space="preserve"> (Health, Safety and Working Conditions Committee)</w:t>
            </w:r>
          </w:p>
          <w:p w14:paraId="08EAD600" w14:textId="77777777" w:rsidR="006C7E47" w:rsidRPr="001C069A" w:rsidRDefault="006C7E47" w:rsidP="001C069A">
            <w:pPr>
              <w:suppressAutoHyphens/>
              <w:jc w:val="both"/>
              <w:rPr>
                <w:rFonts w:cs="Calibri"/>
                <w:szCs w:val="22"/>
              </w:rPr>
            </w:pPr>
            <w:r>
              <w:t>Obligation to prevent discrimination and violence; to report a crime or offence; to refer the matter to the disciplinary authorities; and to protect the person who reported the crime or offence</w:t>
            </w:r>
          </w:p>
        </w:tc>
      </w:tr>
      <w:tr w:rsidR="006C7E47" w:rsidRPr="001C069A" w14:paraId="0400FC42" w14:textId="77777777" w:rsidTr="001C069A">
        <w:tblPrEx>
          <w:jc w:val="left"/>
        </w:tblPrEx>
        <w:trPr>
          <w:trHeight w:val="23"/>
        </w:trPr>
        <w:tc>
          <w:tcPr>
            <w:tcW w:w="9143" w:type="dxa"/>
            <w:tcBorders>
              <w:top w:val="single" w:sz="4" w:space="0" w:color="auto"/>
              <w:left w:val="single" w:sz="4" w:space="0" w:color="auto"/>
            </w:tcBorders>
            <w:shd w:val="clear" w:color="auto" w:fill="F2F2F2"/>
          </w:tcPr>
          <w:p w14:paraId="595E01A2" w14:textId="392725CF" w:rsidR="006C7E47" w:rsidRPr="001C069A" w:rsidRDefault="006C7E47" w:rsidP="001C069A">
            <w:pPr>
              <w:pStyle w:val="Titre2"/>
            </w:pPr>
            <w:r>
              <w:t>Appoint a neutral female point of contact to deal with reports of this nature.</w:t>
            </w:r>
          </w:p>
        </w:tc>
        <w:tc>
          <w:tcPr>
            <w:tcW w:w="4996" w:type="dxa"/>
            <w:gridSpan w:val="2"/>
            <w:tcBorders>
              <w:top w:val="single" w:sz="4" w:space="0" w:color="auto"/>
              <w:left w:val="single" w:sz="4" w:space="0" w:color="auto"/>
            </w:tcBorders>
            <w:shd w:val="clear" w:color="auto" w:fill="FFFFFF"/>
          </w:tcPr>
          <w:p w14:paraId="06718231" w14:textId="77777777" w:rsidR="006C7E47" w:rsidRPr="001C069A" w:rsidRDefault="006C7E47" w:rsidP="001C069A">
            <w:pPr>
              <w:suppressAutoHyphens/>
              <w:jc w:val="both"/>
              <w:rPr>
                <w:rFonts w:cs="Calibri"/>
                <w:szCs w:val="22"/>
              </w:rPr>
            </w:pPr>
          </w:p>
        </w:tc>
        <w:tc>
          <w:tcPr>
            <w:tcW w:w="3856" w:type="dxa"/>
            <w:gridSpan w:val="3"/>
            <w:tcBorders>
              <w:top w:val="single" w:sz="4" w:space="0" w:color="auto"/>
              <w:left w:val="single" w:sz="4" w:space="0" w:color="auto"/>
            </w:tcBorders>
            <w:shd w:val="clear" w:color="auto" w:fill="FFFFFF"/>
          </w:tcPr>
          <w:p w14:paraId="4B9C3936" w14:textId="77777777" w:rsidR="006C7E47" w:rsidRPr="001C069A" w:rsidRDefault="006C7E47" w:rsidP="001C069A">
            <w:pPr>
              <w:suppressAutoHyphens/>
              <w:jc w:val="both"/>
              <w:rPr>
                <w:rFonts w:cs="Calibri"/>
                <w:szCs w:val="22"/>
              </w:rPr>
            </w:pPr>
          </w:p>
        </w:tc>
        <w:tc>
          <w:tcPr>
            <w:tcW w:w="3856" w:type="dxa"/>
            <w:gridSpan w:val="2"/>
            <w:tcBorders>
              <w:top w:val="single" w:sz="4" w:space="0" w:color="auto"/>
              <w:left w:val="single" w:sz="4" w:space="0" w:color="auto"/>
              <w:right w:val="single" w:sz="4" w:space="0" w:color="auto"/>
            </w:tcBorders>
            <w:shd w:val="clear" w:color="auto" w:fill="FFFFFF"/>
          </w:tcPr>
          <w:p w14:paraId="434BBB49" w14:textId="77777777" w:rsidR="006C7E47" w:rsidRPr="001C069A" w:rsidRDefault="006C7E47" w:rsidP="001C069A">
            <w:pPr>
              <w:suppressAutoHyphens/>
              <w:jc w:val="both"/>
              <w:rPr>
                <w:rFonts w:cs="Calibri"/>
                <w:szCs w:val="22"/>
              </w:rPr>
            </w:pPr>
            <w:r>
              <w:t>Proposal to appoint a female point of contact for staff and engineering students on issues of sexist, LGBT-phobic and sexual harassment and discrimination.</w:t>
            </w:r>
          </w:p>
          <w:p w14:paraId="4B5CC439" w14:textId="77777777" w:rsidR="006C7E47" w:rsidRPr="001C069A" w:rsidRDefault="006C7E47" w:rsidP="001C069A">
            <w:pPr>
              <w:suppressAutoHyphens/>
              <w:jc w:val="both"/>
              <w:rPr>
                <w:rFonts w:cs="Calibri"/>
                <w:szCs w:val="22"/>
              </w:rPr>
            </w:pPr>
            <w:r>
              <w:t>Proposal to create anonymous spaces for collecting statements (victim or witness) in order to prevent, identify and punish sexist abuse.</w:t>
            </w:r>
          </w:p>
          <w:p w14:paraId="40E09D57" w14:textId="77777777" w:rsidR="006C7E47" w:rsidRPr="001C069A" w:rsidRDefault="006C7E47" w:rsidP="001C069A">
            <w:pPr>
              <w:suppressAutoHyphens/>
              <w:jc w:val="both"/>
              <w:rPr>
                <w:rFonts w:cs="Calibri"/>
                <w:szCs w:val="22"/>
              </w:rPr>
            </w:pPr>
            <w:r>
              <w:t>Establishment of a dedicated disciplinary board.</w:t>
            </w:r>
          </w:p>
        </w:tc>
      </w:tr>
      <w:tr w:rsidR="001C069A" w:rsidRPr="001C069A" w14:paraId="3208B8A1" w14:textId="77777777" w:rsidTr="001C069A">
        <w:tblPrEx>
          <w:jc w:val="left"/>
        </w:tblPrEx>
        <w:trPr>
          <w:trHeight w:val="23"/>
        </w:trPr>
        <w:tc>
          <w:tcPr>
            <w:tcW w:w="14139" w:type="dxa"/>
            <w:gridSpan w:val="3"/>
            <w:tcBorders>
              <w:top w:val="single" w:sz="4" w:space="0" w:color="auto"/>
              <w:left w:val="single" w:sz="4" w:space="0" w:color="auto"/>
            </w:tcBorders>
            <w:shd w:val="clear" w:color="auto" w:fill="F2F2F2"/>
          </w:tcPr>
          <w:p w14:paraId="34DA27CD" w14:textId="1A32A028" w:rsidR="006C7E47" w:rsidRPr="001C069A" w:rsidRDefault="006C7E47" w:rsidP="001C069A">
            <w:pPr>
              <w:pStyle w:val="Titre1"/>
            </w:pPr>
            <w:r>
              <w:t>EDUCATION AND RESEARCH</w:t>
            </w:r>
          </w:p>
        </w:tc>
        <w:tc>
          <w:tcPr>
            <w:tcW w:w="3856" w:type="dxa"/>
            <w:gridSpan w:val="3"/>
            <w:tcBorders>
              <w:top w:val="single" w:sz="4" w:space="0" w:color="auto"/>
              <w:left w:val="single" w:sz="4" w:space="0" w:color="auto"/>
            </w:tcBorders>
            <w:shd w:val="clear" w:color="auto" w:fill="F2F2F2"/>
          </w:tcPr>
          <w:p w14:paraId="3035A350" w14:textId="77777777" w:rsidR="006C7E47" w:rsidRPr="001C069A" w:rsidRDefault="006C7E47" w:rsidP="001C069A">
            <w:pPr>
              <w:suppressAutoHyphens/>
              <w:jc w:val="both"/>
              <w:rPr>
                <w:rFonts w:cs="Calibri"/>
                <w:szCs w:val="22"/>
              </w:rPr>
            </w:pPr>
          </w:p>
        </w:tc>
        <w:tc>
          <w:tcPr>
            <w:tcW w:w="3856" w:type="dxa"/>
            <w:gridSpan w:val="2"/>
            <w:tcBorders>
              <w:top w:val="single" w:sz="4" w:space="0" w:color="auto"/>
              <w:left w:val="single" w:sz="4" w:space="0" w:color="auto"/>
              <w:right w:val="single" w:sz="4" w:space="0" w:color="auto"/>
            </w:tcBorders>
            <w:shd w:val="clear" w:color="auto" w:fill="F2F2F2"/>
          </w:tcPr>
          <w:p w14:paraId="14C7049D" w14:textId="77777777" w:rsidR="006C7E47" w:rsidRPr="001C069A" w:rsidRDefault="006C7E47" w:rsidP="001C069A">
            <w:pPr>
              <w:suppressAutoHyphens/>
              <w:jc w:val="both"/>
              <w:rPr>
                <w:rFonts w:cs="Calibri"/>
                <w:szCs w:val="22"/>
              </w:rPr>
            </w:pPr>
          </w:p>
        </w:tc>
      </w:tr>
      <w:tr w:rsidR="006C7E47" w:rsidRPr="001C069A" w14:paraId="77916BF8" w14:textId="77777777" w:rsidTr="001C069A">
        <w:tblPrEx>
          <w:jc w:val="left"/>
        </w:tblPrEx>
        <w:trPr>
          <w:trHeight w:val="23"/>
        </w:trPr>
        <w:tc>
          <w:tcPr>
            <w:tcW w:w="9143" w:type="dxa"/>
            <w:tcBorders>
              <w:top w:val="single" w:sz="4" w:space="0" w:color="auto"/>
              <w:left w:val="single" w:sz="4" w:space="0" w:color="auto"/>
            </w:tcBorders>
            <w:shd w:val="clear" w:color="auto" w:fill="F2F2F2"/>
            <w:vAlign w:val="center"/>
          </w:tcPr>
          <w:p w14:paraId="139FB7CE" w14:textId="343753B2" w:rsidR="006C7E47" w:rsidRPr="001C069A" w:rsidRDefault="006C7E47" w:rsidP="001C069A">
            <w:pPr>
              <w:pStyle w:val="Titre2"/>
            </w:pPr>
            <w:r>
              <w:t>Encourage research at national and European level on issues of gender differences and equality and promote gender studies</w:t>
            </w:r>
          </w:p>
        </w:tc>
        <w:tc>
          <w:tcPr>
            <w:tcW w:w="4996" w:type="dxa"/>
            <w:gridSpan w:val="2"/>
            <w:tcBorders>
              <w:top w:val="single" w:sz="4" w:space="0" w:color="auto"/>
              <w:left w:val="single" w:sz="4" w:space="0" w:color="auto"/>
            </w:tcBorders>
            <w:shd w:val="clear" w:color="auto" w:fill="FFFFFF"/>
          </w:tcPr>
          <w:p w14:paraId="715B1FF7" w14:textId="77777777" w:rsidR="006C7E47" w:rsidRPr="001C069A" w:rsidRDefault="006C7E47" w:rsidP="001C069A">
            <w:pPr>
              <w:suppressAutoHyphens/>
              <w:spacing w:after="240"/>
              <w:jc w:val="both"/>
              <w:rPr>
                <w:rFonts w:cs="Calibri"/>
                <w:color w:val="0070C0"/>
                <w:szCs w:val="22"/>
              </w:rPr>
            </w:pPr>
            <w:r>
              <w:rPr>
                <w:color w:val="0070C0"/>
                <w:szCs w:val="22"/>
              </w:rPr>
              <w:t xml:space="preserve">Creation of an </w:t>
            </w:r>
            <w:r>
              <w:rPr>
                <w:b/>
                <w:color w:val="0070C0"/>
                <w:szCs w:val="22"/>
              </w:rPr>
              <w:t>institutional chair on gender equality</w:t>
            </w:r>
            <w:r>
              <w:rPr>
                <w:color w:val="0070C0"/>
                <w:szCs w:val="22"/>
              </w:rPr>
              <w:t xml:space="preserve"> by the </w:t>
            </w:r>
            <w:proofErr w:type="spellStart"/>
            <w:r>
              <w:rPr>
                <w:color w:val="0070C0"/>
                <w:szCs w:val="22"/>
              </w:rPr>
              <w:t>Institut</w:t>
            </w:r>
            <w:proofErr w:type="spellEnd"/>
            <w:r>
              <w:rPr>
                <w:color w:val="0070C0"/>
                <w:szCs w:val="22"/>
              </w:rPr>
              <w:t xml:space="preserve"> Gaston Berger, funded and supported by the </w:t>
            </w:r>
            <w:proofErr w:type="spellStart"/>
            <w:r>
              <w:rPr>
                <w:color w:val="0070C0"/>
                <w:szCs w:val="22"/>
              </w:rPr>
              <w:t>INSA</w:t>
            </w:r>
            <w:proofErr w:type="spellEnd"/>
            <w:r>
              <w:rPr>
                <w:color w:val="0070C0"/>
                <w:szCs w:val="22"/>
              </w:rPr>
              <w:t xml:space="preserve"> Lyon Foundation, partner companies (Assystem, </w:t>
            </w:r>
            <w:proofErr w:type="spellStart"/>
            <w:r>
              <w:rPr>
                <w:color w:val="0070C0"/>
                <w:szCs w:val="22"/>
              </w:rPr>
              <w:t>EDF</w:t>
            </w:r>
            <w:proofErr w:type="spellEnd"/>
            <w:r>
              <w:rPr>
                <w:color w:val="0070C0"/>
                <w:szCs w:val="22"/>
              </w:rPr>
              <w:t xml:space="preserve">, Safran) and </w:t>
            </w:r>
            <w:proofErr w:type="spellStart"/>
            <w:r>
              <w:rPr>
                <w:color w:val="0070C0"/>
                <w:szCs w:val="22"/>
              </w:rPr>
              <w:t>SHS</w:t>
            </w:r>
            <w:proofErr w:type="spellEnd"/>
            <w:r>
              <w:rPr>
                <w:color w:val="0070C0"/>
                <w:szCs w:val="22"/>
              </w:rPr>
              <w:t xml:space="preserve"> research laboratories in the </w:t>
            </w:r>
            <w:proofErr w:type="spellStart"/>
            <w:r>
              <w:rPr>
                <w:color w:val="0070C0"/>
                <w:szCs w:val="22"/>
              </w:rPr>
              <w:t>COMUE</w:t>
            </w:r>
            <w:proofErr w:type="spellEnd"/>
            <w:r>
              <w:rPr>
                <w:color w:val="0070C0"/>
                <w:szCs w:val="22"/>
              </w:rPr>
              <w:t xml:space="preserve"> Lyon</w:t>
            </w:r>
          </w:p>
          <w:p w14:paraId="4FE64788" w14:textId="77777777" w:rsidR="006C7E47" w:rsidRPr="001C069A" w:rsidRDefault="006C7E47" w:rsidP="001C069A">
            <w:pPr>
              <w:suppressAutoHyphens/>
              <w:spacing w:after="480"/>
              <w:jc w:val="both"/>
              <w:rPr>
                <w:rFonts w:cs="Calibri"/>
                <w:color w:val="0070C0"/>
                <w:szCs w:val="22"/>
              </w:rPr>
            </w:pPr>
            <w:r>
              <w:rPr>
                <w:color w:val="0070C0"/>
                <w:szCs w:val="22"/>
              </w:rPr>
              <w:t xml:space="preserve">Research carried out (studies of gendered representations) and through the funding of humanities and social sciences Master’s and PhD programmes on gender studies, participation in the </w:t>
            </w:r>
            <w:r>
              <w:rPr>
                <w:b/>
                <w:color w:val="0070C0"/>
                <w:szCs w:val="22"/>
              </w:rPr>
              <w:t>European Hypatia project</w:t>
            </w:r>
            <w:r>
              <w:rPr>
                <w:color w:val="0070C0"/>
                <w:szCs w:val="22"/>
              </w:rPr>
              <w:t xml:space="preserve"> (</w:t>
            </w:r>
            <w:proofErr w:type="spellStart"/>
            <w:r>
              <w:rPr>
                <w:color w:val="0070C0"/>
                <w:szCs w:val="22"/>
              </w:rPr>
              <w:t>Universciences</w:t>
            </w:r>
            <w:proofErr w:type="spellEnd"/>
            <w:r>
              <w:rPr>
                <w:color w:val="0070C0"/>
                <w:szCs w:val="22"/>
              </w:rPr>
              <w:t>)</w:t>
            </w:r>
          </w:p>
          <w:p w14:paraId="50530F89" w14:textId="77777777" w:rsidR="006C7E47" w:rsidRPr="001C069A" w:rsidRDefault="006C7E47" w:rsidP="001C069A">
            <w:pPr>
              <w:suppressAutoHyphens/>
              <w:jc w:val="both"/>
              <w:rPr>
                <w:rFonts w:cs="Calibri"/>
                <w:color w:val="0070C0"/>
                <w:szCs w:val="22"/>
              </w:rPr>
            </w:pPr>
            <w:r>
              <w:rPr>
                <w:color w:val="0070C0"/>
                <w:szCs w:val="22"/>
              </w:rPr>
              <w:t xml:space="preserve">Identification of a scientific manager for gender research produced and led by the </w:t>
            </w:r>
            <w:proofErr w:type="spellStart"/>
            <w:r>
              <w:rPr>
                <w:color w:val="0070C0"/>
                <w:szCs w:val="22"/>
              </w:rPr>
              <w:t>Institut</w:t>
            </w:r>
            <w:proofErr w:type="spellEnd"/>
            <w:r>
              <w:rPr>
                <w:color w:val="0070C0"/>
                <w:szCs w:val="22"/>
              </w:rPr>
              <w:t xml:space="preserve"> Gaston Berger (Hélène Buisson </w:t>
            </w:r>
            <w:proofErr w:type="spellStart"/>
            <w:r>
              <w:rPr>
                <w:color w:val="0070C0"/>
                <w:szCs w:val="22"/>
              </w:rPr>
              <w:t>Fenet</w:t>
            </w:r>
            <w:proofErr w:type="spellEnd"/>
            <w:r>
              <w:rPr>
                <w:color w:val="0070C0"/>
                <w:szCs w:val="22"/>
              </w:rPr>
              <w:t xml:space="preserve">, </w:t>
            </w:r>
            <w:proofErr w:type="spellStart"/>
            <w:r>
              <w:rPr>
                <w:color w:val="0070C0"/>
                <w:szCs w:val="22"/>
              </w:rPr>
              <w:t>ENS</w:t>
            </w:r>
            <w:proofErr w:type="spellEnd"/>
            <w:r>
              <w:rPr>
                <w:color w:val="0070C0"/>
                <w:szCs w:val="22"/>
              </w:rPr>
              <w:t xml:space="preserve"> Lyon)</w:t>
            </w:r>
          </w:p>
        </w:tc>
        <w:tc>
          <w:tcPr>
            <w:tcW w:w="3856" w:type="dxa"/>
            <w:gridSpan w:val="3"/>
            <w:tcBorders>
              <w:top w:val="single" w:sz="4" w:space="0" w:color="auto"/>
              <w:left w:val="single" w:sz="4" w:space="0" w:color="auto"/>
            </w:tcBorders>
            <w:shd w:val="clear" w:color="auto" w:fill="FFFFFF"/>
          </w:tcPr>
          <w:p w14:paraId="1D87E086" w14:textId="77777777" w:rsidR="006C7E47" w:rsidRPr="001C069A" w:rsidRDefault="006C7E47" w:rsidP="001C069A">
            <w:pPr>
              <w:suppressAutoHyphens/>
              <w:jc w:val="both"/>
              <w:rPr>
                <w:rFonts w:cs="Calibri"/>
                <w:szCs w:val="22"/>
              </w:rPr>
            </w:pPr>
          </w:p>
        </w:tc>
        <w:tc>
          <w:tcPr>
            <w:tcW w:w="3856" w:type="dxa"/>
            <w:gridSpan w:val="2"/>
            <w:tcBorders>
              <w:top w:val="single" w:sz="4" w:space="0" w:color="auto"/>
              <w:left w:val="single" w:sz="4" w:space="0" w:color="auto"/>
              <w:right w:val="single" w:sz="4" w:space="0" w:color="auto"/>
            </w:tcBorders>
            <w:shd w:val="clear" w:color="auto" w:fill="FFFFFF"/>
          </w:tcPr>
          <w:p w14:paraId="00BD41C9" w14:textId="77777777" w:rsidR="006C7E47" w:rsidRPr="001C069A" w:rsidRDefault="006C7E47" w:rsidP="001C069A">
            <w:pPr>
              <w:suppressAutoHyphens/>
              <w:jc w:val="both"/>
              <w:rPr>
                <w:rFonts w:cs="Calibri"/>
                <w:szCs w:val="22"/>
              </w:rPr>
            </w:pPr>
          </w:p>
        </w:tc>
      </w:tr>
      <w:tr w:rsidR="006C7E47" w:rsidRPr="001C069A" w14:paraId="18A1CF67" w14:textId="77777777" w:rsidTr="001C069A">
        <w:tblPrEx>
          <w:jc w:val="left"/>
        </w:tblPrEx>
        <w:trPr>
          <w:trHeight w:val="23"/>
        </w:trPr>
        <w:tc>
          <w:tcPr>
            <w:tcW w:w="9143" w:type="dxa"/>
            <w:tcBorders>
              <w:top w:val="single" w:sz="4" w:space="0" w:color="auto"/>
              <w:left w:val="single" w:sz="4" w:space="0" w:color="auto"/>
              <w:bottom w:val="single" w:sz="4" w:space="0" w:color="auto"/>
            </w:tcBorders>
            <w:shd w:val="clear" w:color="auto" w:fill="F2F2F2"/>
            <w:vAlign w:val="center"/>
          </w:tcPr>
          <w:p w14:paraId="20E812E4" w14:textId="462DF5A5" w:rsidR="006C7E47" w:rsidRPr="001C069A" w:rsidRDefault="006C7E47" w:rsidP="001C069A">
            <w:pPr>
              <w:pStyle w:val="Titre2"/>
            </w:pPr>
            <w:r>
              <w:t>Develop teaching on gender equality issues in courses and mainstream the gender dimension</w:t>
            </w:r>
          </w:p>
        </w:tc>
        <w:tc>
          <w:tcPr>
            <w:tcW w:w="4996" w:type="dxa"/>
            <w:gridSpan w:val="2"/>
            <w:tcBorders>
              <w:top w:val="single" w:sz="4" w:space="0" w:color="auto"/>
              <w:left w:val="single" w:sz="4" w:space="0" w:color="auto"/>
              <w:bottom w:val="single" w:sz="4" w:space="0" w:color="auto"/>
            </w:tcBorders>
            <w:shd w:val="clear" w:color="auto" w:fill="FFFFFF"/>
          </w:tcPr>
          <w:p w14:paraId="02297558" w14:textId="77777777" w:rsidR="006C7E47" w:rsidRPr="001C069A" w:rsidRDefault="006C7E47" w:rsidP="001C069A">
            <w:pPr>
              <w:suppressAutoHyphens/>
              <w:jc w:val="both"/>
              <w:rPr>
                <w:rFonts w:cs="Calibri"/>
                <w:color w:val="0070C0"/>
                <w:szCs w:val="22"/>
              </w:rPr>
            </w:pPr>
            <w:r>
              <w:rPr>
                <w:color w:val="0070C0"/>
                <w:szCs w:val="22"/>
              </w:rPr>
              <w:t xml:space="preserve">The </w:t>
            </w:r>
            <w:proofErr w:type="spellStart"/>
            <w:r>
              <w:rPr>
                <w:color w:val="0070C0"/>
                <w:szCs w:val="22"/>
              </w:rPr>
              <w:t>Institut</w:t>
            </w:r>
            <w:proofErr w:type="spellEnd"/>
            <w:r>
              <w:rPr>
                <w:color w:val="0070C0"/>
                <w:szCs w:val="22"/>
              </w:rPr>
              <w:t xml:space="preserve"> Gaston Berger has for several years offered awareness-raising seminars to female engineering students in willing specialist departments in partnership with experts and partner companies of the </w:t>
            </w:r>
            <w:proofErr w:type="spellStart"/>
            <w:r>
              <w:rPr>
                <w:color w:val="0070C0"/>
                <w:szCs w:val="22"/>
              </w:rPr>
              <w:t>INSA</w:t>
            </w:r>
            <w:proofErr w:type="spellEnd"/>
            <w:r>
              <w:rPr>
                <w:color w:val="0070C0"/>
                <w:szCs w:val="22"/>
              </w:rPr>
              <w:t xml:space="preserve"> Foundation.</w:t>
            </w:r>
          </w:p>
        </w:tc>
        <w:tc>
          <w:tcPr>
            <w:tcW w:w="3856" w:type="dxa"/>
            <w:gridSpan w:val="3"/>
            <w:tcBorders>
              <w:top w:val="single" w:sz="4" w:space="0" w:color="auto"/>
              <w:left w:val="single" w:sz="4" w:space="0" w:color="auto"/>
              <w:bottom w:val="single" w:sz="4" w:space="0" w:color="auto"/>
            </w:tcBorders>
            <w:shd w:val="clear" w:color="auto" w:fill="FFFFFF"/>
          </w:tcPr>
          <w:p w14:paraId="0B877382" w14:textId="77777777" w:rsidR="006C7E47" w:rsidRPr="001C069A" w:rsidRDefault="006C7E47" w:rsidP="001C069A">
            <w:pPr>
              <w:suppressAutoHyphens/>
              <w:jc w:val="both"/>
              <w:rPr>
                <w:rFonts w:cs="Calibri"/>
                <w:color w:val="0070C0"/>
                <w:szCs w:val="22"/>
              </w:rPr>
            </w:pPr>
            <w:r>
              <w:rPr>
                <w:color w:val="0070C0"/>
                <w:szCs w:val="22"/>
              </w:rPr>
              <w:t>Proposal of a training scheme on gender and gender equality</w:t>
            </w:r>
          </w:p>
        </w:tc>
        <w:tc>
          <w:tcPr>
            <w:tcW w:w="3856" w:type="dxa"/>
            <w:gridSpan w:val="2"/>
            <w:tcBorders>
              <w:top w:val="single" w:sz="4" w:space="0" w:color="auto"/>
              <w:left w:val="single" w:sz="4" w:space="0" w:color="auto"/>
              <w:bottom w:val="single" w:sz="4" w:space="0" w:color="auto"/>
              <w:right w:val="single" w:sz="4" w:space="0" w:color="auto"/>
            </w:tcBorders>
            <w:shd w:val="clear" w:color="auto" w:fill="FFFFFF"/>
          </w:tcPr>
          <w:p w14:paraId="66670117" w14:textId="77777777" w:rsidR="006C7E47" w:rsidRPr="001C069A" w:rsidRDefault="006C7E47" w:rsidP="001C069A">
            <w:pPr>
              <w:suppressAutoHyphens/>
              <w:jc w:val="both"/>
              <w:rPr>
                <w:rFonts w:cs="Calibri"/>
                <w:szCs w:val="22"/>
              </w:rPr>
            </w:pPr>
          </w:p>
        </w:tc>
      </w:tr>
    </w:tbl>
    <w:p w14:paraId="5F77622E" w14:textId="77777777" w:rsidR="006C7E47" w:rsidRPr="006C7E47" w:rsidRDefault="006C7E47" w:rsidP="006C7E47">
      <w:pPr>
        <w:suppressAutoHyphens/>
      </w:pPr>
      <w:r>
        <w:br w:type="page"/>
      </w:r>
    </w:p>
    <w:tbl>
      <w:tblPr>
        <w:tblOverlap w:val="never"/>
        <w:tblW w:w="5003" w:type="pct"/>
        <w:tblInd w:w="-18" w:type="dxa"/>
        <w:tblLayout w:type="fixed"/>
        <w:tblCellMar>
          <w:top w:w="28" w:type="dxa"/>
          <w:left w:w="85" w:type="dxa"/>
          <w:bottom w:w="28" w:type="dxa"/>
          <w:right w:w="85" w:type="dxa"/>
        </w:tblCellMar>
        <w:tblLook w:val="04A0" w:firstRow="1" w:lastRow="0" w:firstColumn="1" w:lastColumn="0" w:noHBand="0" w:noVBand="1"/>
      </w:tblPr>
      <w:tblGrid>
        <w:gridCol w:w="9167"/>
        <w:gridCol w:w="4994"/>
        <w:gridCol w:w="3871"/>
        <w:gridCol w:w="3832"/>
      </w:tblGrid>
      <w:tr w:rsidR="006C7E47" w:rsidRPr="001C069A" w14:paraId="58D25A2C" w14:textId="77777777" w:rsidTr="001C069A">
        <w:trPr>
          <w:trHeight w:val="23"/>
        </w:trPr>
        <w:tc>
          <w:tcPr>
            <w:tcW w:w="9165" w:type="dxa"/>
            <w:tcBorders>
              <w:top w:val="single" w:sz="4" w:space="0" w:color="auto"/>
              <w:left w:val="single" w:sz="4" w:space="0" w:color="auto"/>
            </w:tcBorders>
            <w:shd w:val="clear" w:color="auto" w:fill="F2F2F2"/>
          </w:tcPr>
          <w:p w14:paraId="01FE6F42" w14:textId="77777777" w:rsidR="006C7E47" w:rsidRPr="001C069A" w:rsidRDefault="006C7E47" w:rsidP="001C069A">
            <w:pPr>
              <w:suppressAutoHyphens/>
              <w:spacing w:after="240"/>
              <w:jc w:val="both"/>
              <w:rPr>
                <w:rFonts w:cs="Calibri"/>
                <w:b/>
                <w:bCs/>
                <w:i/>
                <w:iCs/>
                <w:szCs w:val="22"/>
              </w:rPr>
            </w:pPr>
            <w:r>
              <w:rPr>
                <w:b/>
                <w:bCs/>
                <w:i/>
                <w:iCs/>
                <w:szCs w:val="22"/>
              </w:rPr>
              <w:lastRenderedPageBreak/>
              <w:t xml:space="preserve">Reference to the </w:t>
            </w:r>
            <w:proofErr w:type="spellStart"/>
            <w:r>
              <w:rPr>
                <w:b/>
                <w:bCs/>
                <w:i/>
                <w:iCs/>
                <w:szCs w:val="22"/>
              </w:rPr>
              <w:t>CGE</w:t>
            </w:r>
            <w:proofErr w:type="spellEnd"/>
            <w:r>
              <w:rPr>
                <w:b/>
                <w:bCs/>
                <w:i/>
                <w:iCs/>
                <w:szCs w:val="22"/>
              </w:rPr>
              <w:t xml:space="preserve"> (mandatory actions)</w:t>
            </w:r>
          </w:p>
          <w:p w14:paraId="18FEE3B6" w14:textId="77777777" w:rsidR="006C7E47" w:rsidRPr="001C069A" w:rsidRDefault="006C7E47" w:rsidP="001C069A">
            <w:pPr>
              <w:suppressAutoHyphens/>
              <w:spacing w:after="240"/>
              <w:jc w:val="both"/>
              <w:rPr>
                <w:rFonts w:cs="Calibri"/>
                <w:b/>
                <w:bCs/>
                <w:szCs w:val="22"/>
              </w:rPr>
            </w:pPr>
            <w:r>
              <w:rPr>
                <w:b/>
                <w:bCs/>
                <w:szCs w:val="22"/>
              </w:rPr>
              <w:t>Awareness-raising</w:t>
            </w:r>
          </w:p>
          <w:p w14:paraId="05728175" w14:textId="77777777" w:rsidR="006C7E47" w:rsidRPr="001C069A" w:rsidRDefault="006C7E47" w:rsidP="001C069A">
            <w:pPr>
              <w:suppressAutoHyphens/>
              <w:jc w:val="both"/>
              <w:rPr>
                <w:rFonts w:cs="Calibri"/>
                <w:szCs w:val="22"/>
              </w:rPr>
            </w:pPr>
            <w:r>
              <w:t xml:space="preserve">The </w:t>
            </w:r>
            <w:proofErr w:type="spellStart"/>
            <w:r>
              <w:t>CGE</w:t>
            </w:r>
            <w:proofErr w:type="spellEnd"/>
            <w:r>
              <w:t xml:space="preserve"> will act to ensure that schools commit to carrying out a specific and meaningful educational activity, in a form appropriate to each school, each year. Every student on their courses must have attended this awareness-raising event. If this awareness-raising activity involves the organisation of a conference, it will be open to school staff.</w:t>
            </w:r>
          </w:p>
        </w:tc>
        <w:tc>
          <w:tcPr>
            <w:tcW w:w="4994" w:type="dxa"/>
            <w:tcBorders>
              <w:top w:val="single" w:sz="4" w:space="0" w:color="auto"/>
              <w:left w:val="single" w:sz="4" w:space="0" w:color="auto"/>
            </w:tcBorders>
            <w:shd w:val="clear" w:color="auto" w:fill="FFFFFF"/>
          </w:tcPr>
          <w:p w14:paraId="14DD22CC" w14:textId="77777777" w:rsidR="006C7E47" w:rsidRPr="001C069A" w:rsidRDefault="006C7E47" w:rsidP="001C069A">
            <w:pPr>
              <w:suppressAutoHyphens/>
              <w:jc w:val="both"/>
              <w:rPr>
                <w:rFonts w:cs="Calibri"/>
                <w:szCs w:val="22"/>
              </w:rPr>
            </w:pPr>
          </w:p>
        </w:tc>
        <w:tc>
          <w:tcPr>
            <w:tcW w:w="3871" w:type="dxa"/>
            <w:tcBorders>
              <w:top w:val="single" w:sz="4" w:space="0" w:color="auto"/>
              <w:left w:val="single" w:sz="4" w:space="0" w:color="auto"/>
            </w:tcBorders>
            <w:shd w:val="clear" w:color="auto" w:fill="FFFFFF"/>
          </w:tcPr>
          <w:p w14:paraId="028CB5EB" w14:textId="77777777" w:rsidR="006C7E47" w:rsidRPr="001C069A" w:rsidRDefault="006C7E47" w:rsidP="001C069A">
            <w:pPr>
              <w:suppressAutoHyphens/>
              <w:spacing w:after="240"/>
              <w:jc w:val="both"/>
              <w:rPr>
                <w:rFonts w:cs="Calibri"/>
                <w:color w:val="0070C0"/>
                <w:szCs w:val="22"/>
              </w:rPr>
            </w:pPr>
            <w:r>
              <w:rPr>
                <w:color w:val="0070C0"/>
                <w:szCs w:val="22"/>
              </w:rPr>
              <w:t xml:space="preserve">The </w:t>
            </w:r>
            <w:proofErr w:type="spellStart"/>
            <w:r>
              <w:rPr>
                <w:color w:val="0070C0"/>
                <w:szCs w:val="22"/>
              </w:rPr>
              <w:t>Institut</w:t>
            </w:r>
            <w:proofErr w:type="spellEnd"/>
            <w:r>
              <w:rPr>
                <w:color w:val="0070C0"/>
                <w:szCs w:val="22"/>
              </w:rPr>
              <w:t xml:space="preserve"> Gaston Berger proposes to:</w:t>
            </w:r>
          </w:p>
          <w:p w14:paraId="6B2BA89F" w14:textId="2C7D8F8A" w:rsidR="006C7E47" w:rsidRPr="001C069A" w:rsidRDefault="006C7E47" w:rsidP="001C069A">
            <w:pPr>
              <w:numPr>
                <w:ilvl w:val="0"/>
                <w:numId w:val="4"/>
              </w:numPr>
              <w:tabs>
                <w:tab w:val="clear" w:pos="851"/>
              </w:tabs>
              <w:suppressAutoHyphens/>
              <w:jc w:val="both"/>
              <w:rPr>
                <w:rFonts w:cs="Calibri"/>
                <w:color w:val="0070C0"/>
                <w:szCs w:val="22"/>
              </w:rPr>
            </w:pPr>
            <w:r>
              <w:rPr>
                <w:color w:val="0070C0"/>
                <w:szCs w:val="22"/>
              </w:rPr>
              <w:t>Make these seminars compulsory for all female engineering students in specialist departments from 2018 onwards.</w:t>
            </w:r>
          </w:p>
          <w:p w14:paraId="04F0DB12" w14:textId="77777777" w:rsidR="006C7E47" w:rsidRPr="001C069A" w:rsidRDefault="006C7E47" w:rsidP="001C069A">
            <w:pPr>
              <w:numPr>
                <w:ilvl w:val="0"/>
                <w:numId w:val="4"/>
              </w:numPr>
              <w:tabs>
                <w:tab w:val="clear" w:pos="851"/>
              </w:tabs>
              <w:suppressAutoHyphens/>
              <w:jc w:val="both"/>
              <w:rPr>
                <w:rFonts w:cs="Calibri"/>
                <w:color w:val="0070C0"/>
                <w:szCs w:val="22"/>
              </w:rPr>
            </w:pPr>
            <w:r>
              <w:rPr>
                <w:color w:val="0070C0"/>
                <w:szCs w:val="22"/>
              </w:rPr>
              <w:t>Develop accessible online training on gender awareness for all as of 2018.</w:t>
            </w:r>
          </w:p>
          <w:p w14:paraId="2710FCF6" w14:textId="77777777" w:rsidR="006C7E47" w:rsidRPr="001C069A" w:rsidRDefault="006C7E47" w:rsidP="001C069A">
            <w:pPr>
              <w:numPr>
                <w:ilvl w:val="0"/>
                <w:numId w:val="4"/>
              </w:numPr>
              <w:tabs>
                <w:tab w:val="clear" w:pos="851"/>
              </w:tabs>
              <w:suppressAutoHyphens/>
              <w:jc w:val="both"/>
              <w:rPr>
                <w:rFonts w:cs="Calibri"/>
                <w:color w:val="0070C0"/>
                <w:szCs w:val="22"/>
              </w:rPr>
            </w:pPr>
            <w:r>
              <w:rPr>
                <w:color w:val="0070C0"/>
                <w:szCs w:val="22"/>
              </w:rPr>
              <w:t>Develop training courses dedicated to female entrepreneurship.</w:t>
            </w:r>
          </w:p>
          <w:p w14:paraId="51C51E6A" w14:textId="3FA435E2" w:rsidR="006C7E47" w:rsidRPr="001C069A" w:rsidRDefault="001C069A" w:rsidP="001C069A">
            <w:pPr>
              <w:numPr>
                <w:ilvl w:val="0"/>
                <w:numId w:val="4"/>
              </w:numPr>
              <w:tabs>
                <w:tab w:val="clear" w:pos="851"/>
              </w:tabs>
              <w:suppressAutoHyphens/>
              <w:jc w:val="both"/>
              <w:rPr>
                <w:rFonts w:cs="Calibri"/>
                <w:color w:val="0070C0"/>
                <w:szCs w:val="22"/>
              </w:rPr>
            </w:pPr>
            <w:r>
              <w:rPr>
                <w:color w:val="0070C0"/>
                <w:szCs w:val="22"/>
              </w:rPr>
              <w:t>Be attentive to the representation of women and men in all areas from education to innovation and creativity as well as in conferences for the general public.</w:t>
            </w:r>
          </w:p>
        </w:tc>
        <w:tc>
          <w:tcPr>
            <w:tcW w:w="3832" w:type="dxa"/>
            <w:tcBorders>
              <w:top w:val="single" w:sz="4" w:space="0" w:color="auto"/>
              <w:left w:val="single" w:sz="4" w:space="0" w:color="auto"/>
              <w:right w:val="single" w:sz="4" w:space="0" w:color="auto"/>
            </w:tcBorders>
            <w:shd w:val="clear" w:color="auto" w:fill="FFFFFF"/>
          </w:tcPr>
          <w:p w14:paraId="122CB96E" w14:textId="77777777" w:rsidR="006C7E47" w:rsidRPr="001C069A" w:rsidRDefault="006C7E47" w:rsidP="001C069A">
            <w:pPr>
              <w:suppressAutoHyphens/>
              <w:jc w:val="both"/>
              <w:rPr>
                <w:rFonts w:cs="Calibri"/>
                <w:szCs w:val="22"/>
              </w:rPr>
            </w:pPr>
          </w:p>
        </w:tc>
      </w:tr>
      <w:tr w:rsidR="006C7E47" w:rsidRPr="001C069A" w14:paraId="34D7A2CF" w14:textId="77777777" w:rsidTr="001C069A">
        <w:trPr>
          <w:trHeight w:val="23"/>
        </w:trPr>
        <w:tc>
          <w:tcPr>
            <w:tcW w:w="9165" w:type="dxa"/>
            <w:tcBorders>
              <w:top w:val="single" w:sz="4" w:space="0" w:color="auto"/>
              <w:left w:val="single" w:sz="4" w:space="0" w:color="auto"/>
            </w:tcBorders>
            <w:shd w:val="clear" w:color="auto" w:fill="F2F2F2"/>
          </w:tcPr>
          <w:p w14:paraId="18DA2014" w14:textId="77777777" w:rsidR="006C7E47" w:rsidRPr="001C069A" w:rsidRDefault="006C7E47" w:rsidP="001C069A">
            <w:pPr>
              <w:suppressAutoHyphens/>
              <w:spacing w:after="240"/>
              <w:jc w:val="both"/>
              <w:rPr>
                <w:rFonts w:cs="Calibri"/>
                <w:b/>
                <w:bCs/>
                <w:i/>
                <w:iCs/>
                <w:szCs w:val="22"/>
              </w:rPr>
            </w:pPr>
            <w:r>
              <w:rPr>
                <w:b/>
                <w:bCs/>
                <w:i/>
                <w:iCs/>
                <w:szCs w:val="22"/>
              </w:rPr>
              <w:t xml:space="preserve">Reference to the </w:t>
            </w:r>
            <w:proofErr w:type="spellStart"/>
            <w:r>
              <w:rPr>
                <w:b/>
                <w:bCs/>
                <w:i/>
                <w:iCs/>
                <w:szCs w:val="22"/>
              </w:rPr>
              <w:t>CGE</w:t>
            </w:r>
            <w:proofErr w:type="spellEnd"/>
            <w:r>
              <w:rPr>
                <w:b/>
                <w:bCs/>
                <w:i/>
                <w:iCs/>
                <w:szCs w:val="22"/>
              </w:rPr>
              <w:t xml:space="preserve"> (mandatory actions)</w:t>
            </w:r>
          </w:p>
          <w:p w14:paraId="030D6DCB" w14:textId="77777777" w:rsidR="006C7E47" w:rsidRPr="001C069A" w:rsidRDefault="006C7E47" w:rsidP="001C069A">
            <w:pPr>
              <w:suppressAutoHyphens/>
              <w:jc w:val="both"/>
              <w:rPr>
                <w:rFonts w:cs="Calibri"/>
                <w:b/>
                <w:bCs/>
                <w:szCs w:val="22"/>
              </w:rPr>
            </w:pPr>
            <w:r>
              <w:rPr>
                <w:b/>
                <w:bCs/>
                <w:szCs w:val="22"/>
              </w:rPr>
              <w:t xml:space="preserve">The internship </w:t>
            </w:r>
            <w:proofErr w:type="gramStart"/>
            <w:r>
              <w:rPr>
                <w:b/>
                <w:bCs/>
                <w:szCs w:val="22"/>
              </w:rPr>
              <w:t>report</w:t>
            </w:r>
            <w:proofErr w:type="gramEnd"/>
          </w:p>
          <w:p w14:paraId="3539C602" w14:textId="77777777" w:rsidR="006C7E47" w:rsidRPr="001C069A" w:rsidRDefault="006C7E47" w:rsidP="001C069A">
            <w:pPr>
              <w:suppressAutoHyphens/>
              <w:jc w:val="both"/>
              <w:rPr>
                <w:rFonts w:cs="Calibri"/>
                <w:szCs w:val="22"/>
              </w:rPr>
            </w:pPr>
            <w:r>
              <w:t xml:space="preserve">The </w:t>
            </w:r>
            <w:proofErr w:type="spellStart"/>
            <w:r>
              <w:t>CGE</w:t>
            </w:r>
            <w:proofErr w:type="spellEnd"/>
            <w:r>
              <w:t xml:space="preserve"> will encourage each school to ensure that each student's end-of-study internship report includes a personal observation about gender equality, which he or she will have observed in the company and, if applicable, the policy implemented in the company on this subject.</w:t>
            </w:r>
          </w:p>
        </w:tc>
        <w:tc>
          <w:tcPr>
            <w:tcW w:w="4994" w:type="dxa"/>
            <w:tcBorders>
              <w:top w:val="single" w:sz="4" w:space="0" w:color="auto"/>
              <w:left w:val="single" w:sz="4" w:space="0" w:color="auto"/>
            </w:tcBorders>
            <w:shd w:val="clear" w:color="auto" w:fill="FFFFFF"/>
          </w:tcPr>
          <w:p w14:paraId="046E1C97" w14:textId="77777777" w:rsidR="006C7E47" w:rsidRPr="001C069A" w:rsidRDefault="006C7E47" w:rsidP="001C069A">
            <w:pPr>
              <w:suppressAutoHyphens/>
              <w:jc w:val="both"/>
              <w:rPr>
                <w:rFonts w:cs="Calibri"/>
                <w:szCs w:val="22"/>
              </w:rPr>
            </w:pPr>
          </w:p>
        </w:tc>
        <w:tc>
          <w:tcPr>
            <w:tcW w:w="3871" w:type="dxa"/>
            <w:tcBorders>
              <w:top w:val="single" w:sz="4" w:space="0" w:color="auto"/>
              <w:left w:val="single" w:sz="4" w:space="0" w:color="auto"/>
            </w:tcBorders>
            <w:shd w:val="clear" w:color="auto" w:fill="FFFFFF"/>
          </w:tcPr>
          <w:p w14:paraId="0F4B7984" w14:textId="77777777" w:rsidR="006C7E47" w:rsidRPr="001C069A" w:rsidRDefault="006C7E47" w:rsidP="001C069A">
            <w:pPr>
              <w:suppressAutoHyphens/>
              <w:spacing w:after="240"/>
              <w:jc w:val="both"/>
              <w:rPr>
                <w:rFonts w:cs="Calibri"/>
                <w:color w:val="0070C0"/>
                <w:szCs w:val="22"/>
              </w:rPr>
            </w:pPr>
            <w:r>
              <w:rPr>
                <w:color w:val="0070C0"/>
                <w:szCs w:val="22"/>
              </w:rPr>
              <w:t xml:space="preserve">The </w:t>
            </w:r>
            <w:proofErr w:type="spellStart"/>
            <w:r>
              <w:rPr>
                <w:color w:val="0070C0"/>
                <w:szCs w:val="22"/>
              </w:rPr>
              <w:t>Institut</w:t>
            </w:r>
            <w:proofErr w:type="spellEnd"/>
            <w:r>
              <w:rPr>
                <w:color w:val="0070C0"/>
                <w:szCs w:val="22"/>
              </w:rPr>
              <w:t xml:space="preserve"> Gaston Berger proposes to:</w:t>
            </w:r>
          </w:p>
          <w:p w14:paraId="5D817A51" w14:textId="65CCADC5" w:rsidR="006C7E47" w:rsidRPr="001C069A" w:rsidRDefault="006C7E47" w:rsidP="001C069A">
            <w:pPr>
              <w:suppressAutoHyphens/>
              <w:jc w:val="both"/>
              <w:rPr>
                <w:rFonts w:cs="Calibri"/>
                <w:color w:val="0070C0"/>
                <w:szCs w:val="22"/>
              </w:rPr>
            </w:pPr>
            <w:r>
              <w:rPr>
                <w:color w:val="0070C0"/>
                <w:szCs w:val="22"/>
              </w:rPr>
              <w:t>encourage female engineering students routinely to include personal observations on the gender mix in the workforce and the situation of women and men in their internship reports between the first and second years of the course</w:t>
            </w:r>
          </w:p>
        </w:tc>
        <w:tc>
          <w:tcPr>
            <w:tcW w:w="3832" w:type="dxa"/>
            <w:tcBorders>
              <w:top w:val="single" w:sz="4" w:space="0" w:color="auto"/>
              <w:left w:val="single" w:sz="4" w:space="0" w:color="auto"/>
              <w:right w:val="single" w:sz="4" w:space="0" w:color="auto"/>
            </w:tcBorders>
            <w:shd w:val="clear" w:color="auto" w:fill="FFFFFF"/>
          </w:tcPr>
          <w:p w14:paraId="4B3E6C90" w14:textId="77777777" w:rsidR="006C7E47" w:rsidRPr="001C069A" w:rsidRDefault="006C7E47" w:rsidP="001C069A">
            <w:pPr>
              <w:suppressAutoHyphens/>
              <w:jc w:val="both"/>
              <w:rPr>
                <w:rFonts w:cs="Calibri"/>
                <w:szCs w:val="22"/>
              </w:rPr>
            </w:pPr>
          </w:p>
        </w:tc>
      </w:tr>
      <w:tr w:rsidR="006C7E47" w:rsidRPr="001C069A" w14:paraId="53A304A4" w14:textId="77777777" w:rsidTr="001C069A">
        <w:trPr>
          <w:trHeight w:val="23"/>
        </w:trPr>
        <w:tc>
          <w:tcPr>
            <w:tcW w:w="9165" w:type="dxa"/>
            <w:tcBorders>
              <w:top w:val="single" w:sz="4" w:space="0" w:color="auto"/>
              <w:left w:val="single" w:sz="4" w:space="0" w:color="auto"/>
            </w:tcBorders>
            <w:shd w:val="clear" w:color="auto" w:fill="F2F2F2"/>
          </w:tcPr>
          <w:p w14:paraId="4F8DB883" w14:textId="77777777" w:rsidR="006C7E47" w:rsidRPr="001C069A" w:rsidRDefault="006C7E47" w:rsidP="001C069A">
            <w:pPr>
              <w:suppressAutoHyphens/>
              <w:jc w:val="both"/>
              <w:rPr>
                <w:rFonts w:cs="Calibri"/>
                <w:b/>
                <w:bCs/>
                <w:i/>
                <w:iCs/>
                <w:szCs w:val="22"/>
              </w:rPr>
            </w:pPr>
            <w:r>
              <w:rPr>
                <w:b/>
                <w:bCs/>
                <w:i/>
                <w:iCs/>
                <w:szCs w:val="22"/>
              </w:rPr>
              <w:t xml:space="preserve">Reference to the </w:t>
            </w:r>
            <w:proofErr w:type="spellStart"/>
            <w:r>
              <w:rPr>
                <w:b/>
                <w:bCs/>
                <w:i/>
                <w:iCs/>
                <w:szCs w:val="22"/>
              </w:rPr>
              <w:t>CGE</w:t>
            </w:r>
            <w:proofErr w:type="spellEnd"/>
            <w:r>
              <w:rPr>
                <w:b/>
                <w:bCs/>
                <w:i/>
                <w:iCs/>
                <w:szCs w:val="22"/>
              </w:rPr>
              <w:t xml:space="preserve"> (optional actions)</w:t>
            </w:r>
          </w:p>
          <w:p w14:paraId="0AEC6737" w14:textId="77777777" w:rsidR="006C7E47" w:rsidRPr="001C069A" w:rsidRDefault="006C7E47" w:rsidP="001C069A">
            <w:pPr>
              <w:suppressAutoHyphens/>
              <w:jc w:val="both"/>
              <w:rPr>
                <w:rFonts w:cs="Calibri"/>
                <w:b/>
                <w:bCs/>
                <w:szCs w:val="22"/>
              </w:rPr>
            </w:pPr>
            <w:r>
              <w:rPr>
                <w:b/>
                <w:bCs/>
                <w:szCs w:val="22"/>
              </w:rPr>
              <w:t>Course on gender</w:t>
            </w:r>
          </w:p>
          <w:p w14:paraId="2A40527E" w14:textId="77777777" w:rsidR="006C7E47" w:rsidRPr="001C069A" w:rsidRDefault="006C7E47" w:rsidP="001C069A">
            <w:pPr>
              <w:suppressAutoHyphens/>
              <w:jc w:val="both"/>
              <w:rPr>
                <w:rFonts w:cs="Calibri"/>
                <w:szCs w:val="22"/>
              </w:rPr>
            </w:pPr>
            <w:r>
              <w:t>Schools will be able to offer a specific module on ‘gender studies’, which will be either optional or compulsory within the curriculum. In any case, it will entitle the student to ECTS credits. This module will consist of 10 to 30 hours of face-to-face classes. It will be accompanied by 1 to 3 ECTS credits. It may be taught in French or in another language.</w:t>
            </w:r>
          </w:p>
        </w:tc>
        <w:tc>
          <w:tcPr>
            <w:tcW w:w="4994" w:type="dxa"/>
            <w:tcBorders>
              <w:top w:val="single" w:sz="4" w:space="0" w:color="auto"/>
              <w:left w:val="single" w:sz="4" w:space="0" w:color="auto"/>
            </w:tcBorders>
            <w:shd w:val="clear" w:color="auto" w:fill="FFFFFF"/>
          </w:tcPr>
          <w:p w14:paraId="00A97761" w14:textId="77777777" w:rsidR="006C7E47" w:rsidRPr="001C069A" w:rsidRDefault="006C7E47" w:rsidP="001C069A">
            <w:pPr>
              <w:suppressAutoHyphens/>
              <w:jc w:val="both"/>
              <w:rPr>
                <w:rFonts w:cs="Calibri"/>
                <w:szCs w:val="22"/>
              </w:rPr>
            </w:pPr>
          </w:p>
        </w:tc>
        <w:tc>
          <w:tcPr>
            <w:tcW w:w="3871" w:type="dxa"/>
            <w:tcBorders>
              <w:top w:val="single" w:sz="4" w:space="0" w:color="auto"/>
              <w:left w:val="single" w:sz="4" w:space="0" w:color="auto"/>
            </w:tcBorders>
            <w:shd w:val="clear" w:color="auto" w:fill="FFFFFF"/>
          </w:tcPr>
          <w:p w14:paraId="00558248" w14:textId="641E1060" w:rsidR="006C7E47" w:rsidRPr="001C069A" w:rsidRDefault="006C7E47" w:rsidP="001C069A">
            <w:pPr>
              <w:suppressAutoHyphens/>
              <w:jc w:val="both"/>
              <w:rPr>
                <w:rFonts w:cs="Calibri"/>
                <w:color w:val="0070C0"/>
                <w:szCs w:val="22"/>
              </w:rPr>
            </w:pPr>
            <w:r>
              <w:rPr>
                <w:color w:val="0070C0"/>
                <w:szCs w:val="22"/>
              </w:rPr>
              <w:t xml:space="preserve">The </w:t>
            </w:r>
            <w:proofErr w:type="spellStart"/>
            <w:r>
              <w:rPr>
                <w:color w:val="0070C0"/>
                <w:szCs w:val="22"/>
              </w:rPr>
              <w:t>Institut</w:t>
            </w:r>
            <w:proofErr w:type="spellEnd"/>
            <w:r>
              <w:rPr>
                <w:color w:val="0070C0"/>
                <w:szCs w:val="22"/>
              </w:rPr>
              <w:t xml:space="preserve"> Gaston Berger proposes to develop optional courses on gender alongside the Humanities Centre</w:t>
            </w:r>
          </w:p>
        </w:tc>
        <w:tc>
          <w:tcPr>
            <w:tcW w:w="3832" w:type="dxa"/>
            <w:tcBorders>
              <w:top w:val="single" w:sz="4" w:space="0" w:color="auto"/>
              <w:left w:val="single" w:sz="4" w:space="0" w:color="auto"/>
              <w:right w:val="single" w:sz="4" w:space="0" w:color="auto"/>
            </w:tcBorders>
            <w:shd w:val="clear" w:color="auto" w:fill="FFFFFF"/>
          </w:tcPr>
          <w:p w14:paraId="6B73C6EB" w14:textId="77777777" w:rsidR="006C7E47" w:rsidRPr="001C069A" w:rsidRDefault="006C7E47" w:rsidP="001C069A">
            <w:pPr>
              <w:suppressAutoHyphens/>
              <w:jc w:val="both"/>
              <w:rPr>
                <w:rFonts w:cs="Calibri"/>
                <w:szCs w:val="22"/>
              </w:rPr>
            </w:pPr>
          </w:p>
        </w:tc>
      </w:tr>
      <w:tr w:rsidR="006C7E47" w:rsidRPr="001C069A" w14:paraId="24BC4B98" w14:textId="77777777" w:rsidTr="001C069A">
        <w:trPr>
          <w:trHeight w:val="23"/>
        </w:trPr>
        <w:tc>
          <w:tcPr>
            <w:tcW w:w="9165" w:type="dxa"/>
            <w:tcBorders>
              <w:top w:val="single" w:sz="4" w:space="0" w:color="auto"/>
              <w:left w:val="single" w:sz="4" w:space="0" w:color="auto"/>
            </w:tcBorders>
            <w:shd w:val="clear" w:color="auto" w:fill="F2F2F2"/>
          </w:tcPr>
          <w:p w14:paraId="2FF5DEDF" w14:textId="77777777" w:rsidR="006C7E47" w:rsidRPr="001C069A" w:rsidRDefault="006C7E47" w:rsidP="001C069A">
            <w:pPr>
              <w:suppressAutoHyphens/>
              <w:jc w:val="both"/>
              <w:rPr>
                <w:rFonts w:cs="Calibri"/>
                <w:b/>
                <w:bCs/>
                <w:i/>
                <w:iCs/>
                <w:szCs w:val="22"/>
              </w:rPr>
            </w:pPr>
            <w:r>
              <w:rPr>
                <w:b/>
                <w:bCs/>
                <w:i/>
                <w:iCs/>
                <w:szCs w:val="22"/>
              </w:rPr>
              <w:t xml:space="preserve">Reference to the </w:t>
            </w:r>
            <w:proofErr w:type="spellStart"/>
            <w:r>
              <w:rPr>
                <w:b/>
                <w:bCs/>
                <w:i/>
                <w:iCs/>
                <w:szCs w:val="22"/>
              </w:rPr>
              <w:t>CGE</w:t>
            </w:r>
            <w:proofErr w:type="spellEnd"/>
            <w:r>
              <w:rPr>
                <w:b/>
                <w:bCs/>
                <w:i/>
                <w:iCs/>
                <w:szCs w:val="22"/>
              </w:rPr>
              <w:t xml:space="preserve"> (optional actions)</w:t>
            </w:r>
          </w:p>
          <w:p w14:paraId="0673DBF2" w14:textId="77777777" w:rsidR="006C7E47" w:rsidRPr="001C069A" w:rsidRDefault="006C7E47" w:rsidP="001C069A">
            <w:pPr>
              <w:suppressAutoHyphens/>
              <w:jc w:val="both"/>
              <w:rPr>
                <w:rFonts w:cs="Calibri"/>
                <w:b/>
                <w:bCs/>
                <w:szCs w:val="22"/>
              </w:rPr>
            </w:pPr>
            <w:r>
              <w:rPr>
                <w:b/>
                <w:bCs/>
                <w:szCs w:val="22"/>
              </w:rPr>
              <w:t>Coaching</w:t>
            </w:r>
          </w:p>
          <w:p w14:paraId="25C9789B" w14:textId="77777777" w:rsidR="006C7E47" w:rsidRPr="001C069A" w:rsidRDefault="006C7E47" w:rsidP="001C069A">
            <w:pPr>
              <w:suppressAutoHyphens/>
              <w:jc w:val="both"/>
              <w:rPr>
                <w:rFonts w:cs="Calibri"/>
                <w:szCs w:val="22"/>
              </w:rPr>
            </w:pPr>
            <w:r>
              <w:t>In order to support female students into the job market and to raise awareness, particularly among girls, of life in the workplace, schools may offer coaching sessions</w:t>
            </w:r>
          </w:p>
        </w:tc>
        <w:tc>
          <w:tcPr>
            <w:tcW w:w="4994" w:type="dxa"/>
            <w:tcBorders>
              <w:top w:val="single" w:sz="4" w:space="0" w:color="auto"/>
              <w:left w:val="single" w:sz="4" w:space="0" w:color="auto"/>
            </w:tcBorders>
            <w:shd w:val="clear" w:color="auto" w:fill="FFFFFF"/>
          </w:tcPr>
          <w:p w14:paraId="3D2493CC" w14:textId="77777777" w:rsidR="006C7E47" w:rsidRPr="001C069A" w:rsidRDefault="006C7E47" w:rsidP="001C069A">
            <w:pPr>
              <w:suppressAutoHyphens/>
              <w:jc w:val="both"/>
              <w:rPr>
                <w:rFonts w:cs="Calibri"/>
                <w:color w:val="0070C0"/>
                <w:szCs w:val="22"/>
              </w:rPr>
            </w:pPr>
            <w:r>
              <w:rPr>
                <w:color w:val="0070C0"/>
                <w:szCs w:val="22"/>
              </w:rPr>
              <w:t xml:space="preserve">The </w:t>
            </w:r>
            <w:proofErr w:type="spellStart"/>
            <w:r>
              <w:rPr>
                <w:color w:val="0070C0"/>
                <w:szCs w:val="22"/>
              </w:rPr>
              <w:t>Institut</w:t>
            </w:r>
            <w:proofErr w:type="spellEnd"/>
            <w:r>
              <w:rPr>
                <w:color w:val="0070C0"/>
                <w:szCs w:val="22"/>
              </w:rPr>
              <w:t xml:space="preserve"> Gaston Berger:</w:t>
            </w:r>
          </w:p>
          <w:p w14:paraId="3F46C982" w14:textId="77777777" w:rsidR="006C7E47" w:rsidRPr="001C069A" w:rsidRDefault="006C7E47" w:rsidP="001C069A">
            <w:pPr>
              <w:numPr>
                <w:ilvl w:val="0"/>
                <w:numId w:val="4"/>
              </w:numPr>
              <w:tabs>
                <w:tab w:val="clear" w:pos="851"/>
              </w:tabs>
              <w:suppressAutoHyphens/>
              <w:jc w:val="both"/>
              <w:rPr>
                <w:rFonts w:cs="Calibri"/>
                <w:color w:val="0070C0"/>
                <w:szCs w:val="22"/>
              </w:rPr>
            </w:pPr>
            <w:r>
              <w:rPr>
                <w:color w:val="0070C0"/>
                <w:szCs w:val="22"/>
              </w:rPr>
              <w:t xml:space="preserve">2016: 20-hour module to prepare for the Professional Project offered in the fifth year of the </w:t>
            </w:r>
            <w:proofErr w:type="spellStart"/>
            <w:r>
              <w:rPr>
                <w:color w:val="0070C0"/>
                <w:szCs w:val="22"/>
              </w:rPr>
              <w:t>SGM</w:t>
            </w:r>
            <w:proofErr w:type="spellEnd"/>
            <w:r>
              <w:rPr>
                <w:color w:val="0070C0"/>
                <w:szCs w:val="22"/>
              </w:rPr>
              <w:t xml:space="preserve"> (Materials Science and Engineering) course from a workplace equality perspective</w:t>
            </w:r>
          </w:p>
          <w:p w14:paraId="19AD563F" w14:textId="77777777" w:rsidR="006C7E47" w:rsidRPr="001C069A" w:rsidRDefault="006C7E47" w:rsidP="001C069A">
            <w:pPr>
              <w:numPr>
                <w:ilvl w:val="0"/>
                <w:numId w:val="4"/>
              </w:numPr>
              <w:tabs>
                <w:tab w:val="clear" w:pos="851"/>
              </w:tabs>
              <w:suppressAutoHyphens/>
              <w:jc w:val="both"/>
              <w:rPr>
                <w:rFonts w:cs="Calibri"/>
                <w:color w:val="0070C0"/>
                <w:szCs w:val="22"/>
              </w:rPr>
            </w:pPr>
            <w:r>
              <w:rPr>
                <w:color w:val="0070C0"/>
                <w:szCs w:val="22"/>
              </w:rPr>
              <w:t>Female mentoring since 2009</w:t>
            </w:r>
          </w:p>
        </w:tc>
        <w:tc>
          <w:tcPr>
            <w:tcW w:w="3871" w:type="dxa"/>
            <w:tcBorders>
              <w:top w:val="single" w:sz="4" w:space="0" w:color="auto"/>
              <w:left w:val="single" w:sz="4" w:space="0" w:color="auto"/>
            </w:tcBorders>
            <w:shd w:val="clear" w:color="auto" w:fill="FFFFFF"/>
          </w:tcPr>
          <w:p w14:paraId="29D27672" w14:textId="77777777" w:rsidR="006C7E47" w:rsidRPr="001C069A" w:rsidRDefault="006C7E47" w:rsidP="001C069A">
            <w:pPr>
              <w:suppressAutoHyphens/>
              <w:jc w:val="both"/>
              <w:rPr>
                <w:rFonts w:cs="Calibri"/>
                <w:color w:val="0070C0"/>
                <w:szCs w:val="22"/>
              </w:rPr>
            </w:pPr>
            <w:r>
              <w:rPr>
                <w:color w:val="0070C0"/>
                <w:szCs w:val="22"/>
              </w:rPr>
              <w:t>Extend the 20-hour module to all departments</w:t>
            </w:r>
          </w:p>
        </w:tc>
        <w:tc>
          <w:tcPr>
            <w:tcW w:w="3832" w:type="dxa"/>
            <w:tcBorders>
              <w:top w:val="single" w:sz="4" w:space="0" w:color="auto"/>
              <w:left w:val="single" w:sz="4" w:space="0" w:color="auto"/>
              <w:right w:val="single" w:sz="4" w:space="0" w:color="auto"/>
            </w:tcBorders>
            <w:shd w:val="clear" w:color="auto" w:fill="FFFFFF"/>
          </w:tcPr>
          <w:p w14:paraId="0A16B8CD" w14:textId="77777777" w:rsidR="006C7E47" w:rsidRPr="001C069A" w:rsidRDefault="006C7E47" w:rsidP="001C069A">
            <w:pPr>
              <w:suppressAutoHyphens/>
              <w:jc w:val="both"/>
              <w:rPr>
                <w:rFonts w:cs="Calibri"/>
                <w:szCs w:val="22"/>
              </w:rPr>
            </w:pPr>
          </w:p>
        </w:tc>
      </w:tr>
      <w:tr w:rsidR="006C7E47" w:rsidRPr="001C069A" w14:paraId="34EEAABB" w14:textId="77777777" w:rsidTr="001C069A">
        <w:trPr>
          <w:trHeight w:val="23"/>
        </w:trPr>
        <w:tc>
          <w:tcPr>
            <w:tcW w:w="9165" w:type="dxa"/>
            <w:tcBorders>
              <w:top w:val="single" w:sz="4" w:space="0" w:color="auto"/>
              <w:left w:val="single" w:sz="4" w:space="0" w:color="auto"/>
              <w:bottom w:val="single" w:sz="4" w:space="0" w:color="auto"/>
            </w:tcBorders>
            <w:shd w:val="clear" w:color="auto" w:fill="F2F2F2"/>
            <w:vAlign w:val="center"/>
          </w:tcPr>
          <w:p w14:paraId="66ACC5C2" w14:textId="210751D1" w:rsidR="006C7E47" w:rsidRPr="001C069A" w:rsidRDefault="006C7E47" w:rsidP="001C069A">
            <w:pPr>
              <w:pStyle w:val="Titre2"/>
            </w:pPr>
            <w:r>
              <w:t>Introduce the subject of gender equality in the training of female lecturers</w:t>
            </w:r>
          </w:p>
        </w:tc>
        <w:tc>
          <w:tcPr>
            <w:tcW w:w="4994" w:type="dxa"/>
            <w:tcBorders>
              <w:top w:val="single" w:sz="4" w:space="0" w:color="auto"/>
              <w:left w:val="single" w:sz="4" w:space="0" w:color="auto"/>
              <w:bottom w:val="single" w:sz="4" w:space="0" w:color="auto"/>
            </w:tcBorders>
            <w:shd w:val="clear" w:color="auto" w:fill="FFFFFF"/>
          </w:tcPr>
          <w:p w14:paraId="0D2B7E85" w14:textId="77777777" w:rsidR="006C7E47" w:rsidRPr="001C069A" w:rsidRDefault="006C7E47" w:rsidP="001C069A">
            <w:pPr>
              <w:suppressAutoHyphens/>
              <w:jc w:val="both"/>
              <w:rPr>
                <w:rFonts w:cs="Calibri"/>
                <w:szCs w:val="22"/>
              </w:rPr>
            </w:pPr>
          </w:p>
        </w:tc>
        <w:tc>
          <w:tcPr>
            <w:tcW w:w="3871" w:type="dxa"/>
            <w:tcBorders>
              <w:top w:val="single" w:sz="4" w:space="0" w:color="auto"/>
              <w:left w:val="single" w:sz="4" w:space="0" w:color="auto"/>
              <w:bottom w:val="single" w:sz="4" w:space="0" w:color="auto"/>
            </w:tcBorders>
            <w:shd w:val="clear" w:color="auto" w:fill="FFFFFF"/>
          </w:tcPr>
          <w:p w14:paraId="58A15C07" w14:textId="77777777" w:rsidR="006C7E47" w:rsidRPr="001C069A" w:rsidRDefault="006C7E47" w:rsidP="001C069A">
            <w:pPr>
              <w:suppressAutoHyphens/>
              <w:jc w:val="both"/>
              <w:rPr>
                <w:rFonts w:cs="Calibri"/>
                <w:color w:val="0070C0"/>
                <w:szCs w:val="22"/>
              </w:rPr>
            </w:pPr>
            <w:r>
              <w:rPr>
                <w:color w:val="0070C0"/>
                <w:szCs w:val="22"/>
              </w:rPr>
              <w:t xml:space="preserve">The </w:t>
            </w:r>
            <w:proofErr w:type="spellStart"/>
            <w:r>
              <w:rPr>
                <w:color w:val="0070C0"/>
                <w:szCs w:val="22"/>
              </w:rPr>
              <w:t>Institut</w:t>
            </w:r>
            <w:proofErr w:type="spellEnd"/>
            <w:r>
              <w:rPr>
                <w:color w:val="0070C0"/>
                <w:szCs w:val="22"/>
              </w:rPr>
              <w:t xml:space="preserve"> Gaston Berger proposes to </w:t>
            </w:r>
            <w:r>
              <w:rPr>
                <w:b/>
                <w:color w:val="0070C0"/>
                <w:szCs w:val="22"/>
              </w:rPr>
              <w:t xml:space="preserve">introduce gender awareness as part of a more general training plan on systematic and progressive non-discrimination for all </w:t>
            </w:r>
            <w:proofErr w:type="spellStart"/>
            <w:r>
              <w:rPr>
                <w:b/>
                <w:color w:val="0070C0"/>
                <w:szCs w:val="22"/>
              </w:rPr>
              <w:t>INSA</w:t>
            </w:r>
            <w:proofErr w:type="spellEnd"/>
            <w:r>
              <w:rPr>
                <w:b/>
                <w:color w:val="0070C0"/>
                <w:szCs w:val="22"/>
              </w:rPr>
              <w:t xml:space="preserve"> staff</w:t>
            </w:r>
            <w:r>
              <w:rPr>
                <w:color w:val="0070C0"/>
                <w:szCs w:val="22"/>
              </w:rPr>
              <w:t>:</w:t>
            </w:r>
          </w:p>
          <w:p w14:paraId="5354A03C" w14:textId="22DE0F4D" w:rsidR="001C069A" w:rsidRPr="001C069A" w:rsidRDefault="006C7E47" w:rsidP="001C069A">
            <w:pPr>
              <w:numPr>
                <w:ilvl w:val="0"/>
                <w:numId w:val="4"/>
              </w:numPr>
              <w:tabs>
                <w:tab w:val="clear" w:pos="851"/>
              </w:tabs>
              <w:suppressAutoHyphens/>
              <w:jc w:val="both"/>
              <w:rPr>
                <w:rFonts w:cs="Calibri"/>
                <w:color w:val="0070C0"/>
                <w:szCs w:val="22"/>
              </w:rPr>
            </w:pPr>
            <w:r>
              <w:rPr>
                <w:color w:val="0070C0"/>
                <w:szCs w:val="22"/>
              </w:rPr>
              <w:t>Mandatory training for all staff in the Human Resources Management Department</w:t>
            </w:r>
          </w:p>
          <w:p w14:paraId="709409B1" w14:textId="119A3898" w:rsidR="001C069A" w:rsidRPr="001C069A" w:rsidRDefault="001C069A" w:rsidP="001C069A">
            <w:pPr>
              <w:numPr>
                <w:ilvl w:val="0"/>
                <w:numId w:val="4"/>
              </w:numPr>
              <w:tabs>
                <w:tab w:val="clear" w:pos="851"/>
              </w:tabs>
              <w:suppressAutoHyphens/>
              <w:jc w:val="both"/>
              <w:rPr>
                <w:rFonts w:cs="Calibri"/>
                <w:color w:val="0070C0"/>
                <w:szCs w:val="22"/>
              </w:rPr>
            </w:pPr>
            <w:r>
              <w:rPr>
                <w:color w:val="0070C0"/>
                <w:szCs w:val="22"/>
              </w:rPr>
              <w:t xml:space="preserve">Inclusion of gender awareness </w:t>
            </w:r>
            <w:r>
              <w:rPr>
                <w:color w:val="0070C0"/>
                <w:szCs w:val="22"/>
              </w:rPr>
              <w:lastRenderedPageBreak/>
              <w:t>in the induction pack for new staff from the start of the 2018 academic year</w:t>
            </w:r>
          </w:p>
          <w:p w14:paraId="41545CB9" w14:textId="7A44BAB7" w:rsidR="006C7E47" w:rsidRPr="001C069A" w:rsidRDefault="001C069A" w:rsidP="001C069A">
            <w:pPr>
              <w:suppressAutoHyphens/>
              <w:jc w:val="both"/>
              <w:rPr>
                <w:rFonts w:cs="Calibri"/>
                <w:color w:val="0070C0"/>
                <w:szCs w:val="22"/>
              </w:rPr>
            </w:pPr>
            <w:r>
              <w:rPr>
                <w:color w:val="0070C0"/>
                <w:szCs w:val="22"/>
              </w:rPr>
              <w:t>Mandatory half-day awareness-raising for all staff by 2020</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14:paraId="5C75F96D" w14:textId="77777777" w:rsidR="006C7E47" w:rsidRPr="001C069A" w:rsidRDefault="006C7E47" w:rsidP="001C069A">
            <w:pPr>
              <w:suppressAutoHyphens/>
              <w:jc w:val="both"/>
              <w:rPr>
                <w:rFonts w:cs="Calibri"/>
                <w:szCs w:val="22"/>
              </w:rPr>
            </w:pPr>
          </w:p>
        </w:tc>
      </w:tr>
      <w:tr w:rsidR="006C7E47" w:rsidRPr="001C069A" w14:paraId="2435826E" w14:textId="77777777" w:rsidTr="001C069A">
        <w:trPr>
          <w:trHeight w:val="23"/>
        </w:trPr>
        <w:tc>
          <w:tcPr>
            <w:tcW w:w="9165" w:type="dxa"/>
            <w:tcBorders>
              <w:top w:val="single" w:sz="4" w:space="0" w:color="auto"/>
              <w:left w:val="single" w:sz="4" w:space="0" w:color="auto"/>
            </w:tcBorders>
            <w:shd w:val="clear" w:color="auto" w:fill="F2F2F2"/>
          </w:tcPr>
          <w:p w14:paraId="27F4414B" w14:textId="77777777" w:rsidR="006C7E47" w:rsidRPr="001C069A" w:rsidRDefault="006C7E47" w:rsidP="001C069A">
            <w:pPr>
              <w:suppressAutoHyphens/>
              <w:jc w:val="both"/>
              <w:rPr>
                <w:rFonts w:cs="Calibri"/>
                <w:b/>
                <w:bCs/>
                <w:i/>
                <w:iCs/>
                <w:color w:val="FF0000"/>
                <w:szCs w:val="22"/>
              </w:rPr>
            </w:pPr>
            <w:r>
              <w:rPr>
                <w:b/>
                <w:bCs/>
                <w:i/>
                <w:iCs/>
                <w:color w:val="FF0000"/>
                <w:szCs w:val="22"/>
              </w:rPr>
              <w:t xml:space="preserve">Specific reference to </w:t>
            </w:r>
            <w:proofErr w:type="spellStart"/>
            <w:r>
              <w:rPr>
                <w:b/>
                <w:bCs/>
                <w:i/>
                <w:iCs/>
                <w:color w:val="FF0000"/>
                <w:szCs w:val="22"/>
              </w:rPr>
              <w:t>INSA</w:t>
            </w:r>
            <w:proofErr w:type="spellEnd"/>
            <w:r>
              <w:rPr>
                <w:b/>
                <w:bCs/>
                <w:i/>
                <w:iCs/>
                <w:color w:val="FF0000"/>
                <w:szCs w:val="22"/>
              </w:rPr>
              <w:t xml:space="preserve"> Lyon</w:t>
            </w:r>
          </w:p>
          <w:p w14:paraId="60799630" w14:textId="13CC4AB5" w:rsidR="006C7E47" w:rsidRPr="001C069A" w:rsidRDefault="006C7E47" w:rsidP="001C069A">
            <w:pPr>
              <w:pStyle w:val="Titre2"/>
            </w:pPr>
            <w:r>
              <w:t xml:space="preserve">Incorporate gender studies into scientific research in the field of engineering produced by </w:t>
            </w:r>
            <w:proofErr w:type="spellStart"/>
            <w:r>
              <w:t>INSA</w:t>
            </w:r>
            <w:proofErr w:type="spellEnd"/>
            <w:r>
              <w:t xml:space="preserve"> Lyon laboratories as a matter of course and whenever it makes sense, as recommended by the European ENRICH framework</w:t>
            </w:r>
          </w:p>
        </w:tc>
        <w:tc>
          <w:tcPr>
            <w:tcW w:w="4994" w:type="dxa"/>
            <w:tcBorders>
              <w:top w:val="single" w:sz="4" w:space="0" w:color="auto"/>
              <w:left w:val="single" w:sz="4" w:space="0" w:color="auto"/>
            </w:tcBorders>
            <w:shd w:val="clear" w:color="auto" w:fill="FFFFFF"/>
          </w:tcPr>
          <w:p w14:paraId="33839544" w14:textId="77777777" w:rsidR="006C7E47" w:rsidRPr="001C069A" w:rsidRDefault="006C7E47" w:rsidP="001C069A">
            <w:pPr>
              <w:suppressAutoHyphens/>
              <w:jc w:val="both"/>
              <w:rPr>
                <w:rFonts w:cs="Calibri"/>
                <w:color w:val="0070C0"/>
                <w:szCs w:val="22"/>
              </w:rPr>
            </w:pPr>
            <w:r>
              <w:rPr>
                <w:color w:val="0070C0"/>
                <w:szCs w:val="22"/>
              </w:rPr>
              <w:t xml:space="preserve">In 2017, the </w:t>
            </w:r>
            <w:proofErr w:type="spellStart"/>
            <w:r>
              <w:rPr>
                <w:color w:val="0070C0"/>
                <w:szCs w:val="22"/>
              </w:rPr>
              <w:t>Institut</w:t>
            </w:r>
            <w:proofErr w:type="spellEnd"/>
            <w:r>
              <w:rPr>
                <w:color w:val="0070C0"/>
                <w:szCs w:val="22"/>
              </w:rPr>
              <w:t xml:space="preserve"> Gaston Berger will offer a training course for female lecturers and researchers in Responsible Research and Innovation (</w:t>
            </w:r>
            <w:proofErr w:type="spellStart"/>
            <w:r>
              <w:rPr>
                <w:color w:val="0070C0"/>
                <w:szCs w:val="22"/>
              </w:rPr>
              <w:t>RRI</w:t>
            </w:r>
            <w:proofErr w:type="spellEnd"/>
            <w:r>
              <w:rPr>
                <w:color w:val="0070C0"/>
                <w:szCs w:val="22"/>
              </w:rPr>
              <w:t>, including the Gender Studies section) and has given a presentation in Brussels on this subject</w:t>
            </w:r>
          </w:p>
        </w:tc>
        <w:tc>
          <w:tcPr>
            <w:tcW w:w="3871" w:type="dxa"/>
            <w:tcBorders>
              <w:top w:val="single" w:sz="4" w:space="0" w:color="auto"/>
              <w:left w:val="single" w:sz="4" w:space="0" w:color="auto"/>
            </w:tcBorders>
            <w:shd w:val="clear" w:color="auto" w:fill="FFFFFF"/>
          </w:tcPr>
          <w:p w14:paraId="5A0225C5" w14:textId="77777777" w:rsidR="006C7E47" w:rsidRPr="001C069A" w:rsidRDefault="006C7E47" w:rsidP="001C069A">
            <w:pPr>
              <w:suppressAutoHyphens/>
              <w:jc w:val="both"/>
              <w:rPr>
                <w:rFonts w:cs="Calibri"/>
                <w:szCs w:val="22"/>
              </w:rPr>
            </w:pPr>
          </w:p>
        </w:tc>
        <w:tc>
          <w:tcPr>
            <w:tcW w:w="3832" w:type="dxa"/>
            <w:tcBorders>
              <w:top w:val="single" w:sz="4" w:space="0" w:color="auto"/>
              <w:left w:val="single" w:sz="4" w:space="0" w:color="auto"/>
              <w:right w:val="single" w:sz="4" w:space="0" w:color="auto"/>
            </w:tcBorders>
            <w:shd w:val="clear" w:color="auto" w:fill="FFFFFF"/>
          </w:tcPr>
          <w:p w14:paraId="1F6FEF21" w14:textId="77777777" w:rsidR="006C7E47" w:rsidRPr="001C069A" w:rsidRDefault="006C7E47" w:rsidP="001C069A">
            <w:pPr>
              <w:suppressAutoHyphens/>
              <w:jc w:val="both"/>
              <w:rPr>
                <w:rFonts w:cs="Calibri"/>
                <w:szCs w:val="22"/>
              </w:rPr>
            </w:pPr>
          </w:p>
        </w:tc>
      </w:tr>
      <w:tr w:rsidR="006C7E47" w:rsidRPr="001C069A" w14:paraId="05EA1D2F" w14:textId="77777777" w:rsidTr="001C069A">
        <w:trPr>
          <w:trHeight w:val="23"/>
        </w:trPr>
        <w:tc>
          <w:tcPr>
            <w:tcW w:w="9165" w:type="dxa"/>
            <w:tcBorders>
              <w:top w:val="single" w:sz="4" w:space="0" w:color="auto"/>
              <w:left w:val="single" w:sz="4" w:space="0" w:color="auto"/>
              <w:bottom w:val="single" w:sz="4" w:space="0" w:color="auto"/>
            </w:tcBorders>
            <w:shd w:val="clear" w:color="auto" w:fill="F2F2F2"/>
          </w:tcPr>
          <w:p w14:paraId="33D98DB4" w14:textId="77777777" w:rsidR="006C7E47" w:rsidRPr="001C069A" w:rsidRDefault="006C7E47" w:rsidP="001C069A">
            <w:pPr>
              <w:suppressAutoHyphens/>
              <w:jc w:val="both"/>
              <w:rPr>
                <w:rFonts w:cs="Calibri"/>
                <w:b/>
                <w:bCs/>
                <w:i/>
                <w:iCs/>
                <w:color w:val="FF0000"/>
                <w:szCs w:val="22"/>
              </w:rPr>
            </w:pPr>
            <w:r>
              <w:rPr>
                <w:b/>
                <w:bCs/>
                <w:i/>
                <w:iCs/>
                <w:color w:val="FF0000"/>
                <w:szCs w:val="22"/>
              </w:rPr>
              <w:t xml:space="preserve">Specific reference to </w:t>
            </w:r>
            <w:proofErr w:type="spellStart"/>
            <w:r>
              <w:rPr>
                <w:b/>
                <w:bCs/>
                <w:i/>
                <w:iCs/>
                <w:color w:val="FF0000"/>
                <w:szCs w:val="22"/>
              </w:rPr>
              <w:t>INSA</w:t>
            </w:r>
            <w:proofErr w:type="spellEnd"/>
            <w:r>
              <w:rPr>
                <w:b/>
                <w:bCs/>
                <w:i/>
                <w:iCs/>
                <w:color w:val="FF0000"/>
                <w:szCs w:val="22"/>
              </w:rPr>
              <w:t xml:space="preserve"> Lyon</w:t>
            </w:r>
          </w:p>
          <w:p w14:paraId="3C1E00C4" w14:textId="4E7227BD" w:rsidR="006C7E47" w:rsidRPr="001C069A" w:rsidRDefault="006C7E47" w:rsidP="001C069A">
            <w:pPr>
              <w:pStyle w:val="Titre2"/>
            </w:pPr>
            <w:r>
              <w:t>Create and develop partnerships with the socio-economic world and academic research on gender issues and CSR in general.</w:t>
            </w:r>
          </w:p>
        </w:tc>
        <w:tc>
          <w:tcPr>
            <w:tcW w:w="4994" w:type="dxa"/>
            <w:tcBorders>
              <w:top w:val="single" w:sz="4" w:space="0" w:color="auto"/>
              <w:left w:val="single" w:sz="4" w:space="0" w:color="auto"/>
              <w:bottom w:val="single" w:sz="4" w:space="0" w:color="auto"/>
            </w:tcBorders>
            <w:shd w:val="clear" w:color="auto" w:fill="FFFFFF"/>
          </w:tcPr>
          <w:p w14:paraId="661038E4" w14:textId="77777777" w:rsidR="006C7E47" w:rsidRPr="001C069A" w:rsidRDefault="006C7E47" w:rsidP="001C069A">
            <w:pPr>
              <w:suppressAutoHyphens/>
              <w:jc w:val="both"/>
              <w:rPr>
                <w:rFonts w:cs="Calibri"/>
                <w:color w:val="0070C0"/>
                <w:szCs w:val="22"/>
              </w:rPr>
            </w:pPr>
            <w:r>
              <w:rPr>
                <w:color w:val="0070C0"/>
                <w:szCs w:val="22"/>
              </w:rPr>
              <w:t xml:space="preserve">Creation of a circle of experts - associations, researchers, companies - working closely with </w:t>
            </w:r>
            <w:proofErr w:type="spellStart"/>
            <w:r>
              <w:rPr>
                <w:color w:val="0070C0"/>
                <w:szCs w:val="22"/>
              </w:rPr>
              <w:t>INSA</w:t>
            </w:r>
            <w:proofErr w:type="spellEnd"/>
            <w:r>
              <w:rPr>
                <w:color w:val="0070C0"/>
                <w:szCs w:val="22"/>
              </w:rPr>
              <w:t xml:space="preserve"> to share best practices and issues relating to gender mix and equality.</w:t>
            </w:r>
          </w:p>
          <w:p w14:paraId="17636CEE" w14:textId="77777777" w:rsidR="006C7E47" w:rsidRPr="001C069A" w:rsidRDefault="006C7E47" w:rsidP="001C069A">
            <w:pPr>
              <w:numPr>
                <w:ilvl w:val="0"/>
                <w:numId w:val="4"/>
              </w:numPr>
              <w:tabs>
                <w:tab w:val="clear" w:pos="851"/>
              </w:tabs>
              <w:suppressAutoHyphens/>
              <w:jc w:val="both"/>
              <w:rPr>
                <w:rFonts w:cs="Calibri"/>
                <w:color w:val="0070C0"/>
                <w:szCs w:val="22"/>
              </w:rPr>
            </w:pPr>
            <w:proofErr w:type="spellStart"/>
            <w:r>
              <w:rPr>
                <w:color w:val="0070C0"/>
                <w:szCs w:val="22"/>
              </w:rPr>
              <w:t>SHS</w:t>
            </w:r>
            <w:proofErr w:type="spellEnd"/>
            <w:r>
              <w:rPr>
                <w:color w:val="0070C0"/>
                <w:szCs w:val="22"/>
              </w:rPr>
              <w:t xml:space="preserve"> research laboratories in the </w:t>
            </w:r>
            <w:proofErr w:type="spellStart"/>
            <w:r>
              <w:rPr>
                <w:color w:val="0070C0"/>
                <w:szCs w:val="22"/>
              </w:rPr>
              <w:t>COMUE</w:t>
            </w:r>
            <w:proofErr w:type="spellEnd"/>
            <w:r>
              <w:rPr>
                <w:color w:val="0070C0"/>
                <w:szCs w:val="22"/>
              </w:rPr>
              <w:t>;</w:t>
            </w:r>
          </w:p>
          <w:p w14:paraId="5C56A1BA" w14:textId="77777777" w:rsidR="006C7E47" w:rsidRPr="001C069A" w:rsidRDefault="006C7E47" w:rsidP="001C069A">
            <w:pPr>
              <w:numPr>
                <w:ilvl w:val="0"/>
                <w:numId w:val="4"/>
              </w:numPr>
              <w:tabs>
                <w:tab w:val="clear" w:pos="851"/>
              </w:tabs>
              <w:suppressAutoHyphens/>
              <w:jc w:val="both"/>
              <w:rPr>
                <w:rFonts w:cs="Calibri"/>
                <w:color w:val="0070C0"/>
                <w:szCs w:val="22"/>
              </w:rPr>
            </w:pPr>
            <w:r>
              <w:rPr>
                <w:color w:val="0070C0"/>
                <w:szCs w:val="22"/>
              </w:rPr>
              <w:t xml:space="preserve">partner companies of the </w:t>
            </w:r>
            <w:proofErr w:type="spellStart"/>
            <w:r>
              <w:rPr>
                <w:color w:val="0070C0"/>
                <w:szCs w:val="22"/>
              </w:rPr>
              <w:t>INSA</w:t>
            </w:r>
            <w:proofErr w:type="spellEnd"/>
            <w:r>
              <w:rPr>
                <w:color w:val="0070C0"/>
                <w:szCs w:val="22"/>
              </w:rPr>
              <w:t xml:space="preserve"> Lyon Foundation;</w:t>
            </w:r>
          </w:p>
          <w:p w14:paraId="0287506A" w14:textId="2FF0EB6D" w:rsidR="006C7E47" w:rsidRPr="001C069A" w:rsidRDefault="006C7E47" w:rsidP="001C069A">
            <w:pPr>
              <w:numPr>
                <w:ilvl w:val="0"/>
                <w:numId w:val="4"/>
              </w:numPr>
              <w:tabs>
                <w:tab w:val="clear" w:pos="851"/>
              </w:tabs>
              <w:suppressAutoHyphens/>
              <w:jc w:val="both"/>
              <w:rPr>
                <w:rFonts w:cs="Calibri"/>
                <w:color w:val="0070C0"/>
                <w:szCs w:val="22"/>
              </w:rPr>
            </w:pPr>
            <w:r>
              <w:rPr>
                <w:color w:val="0070C0"/>
                <w:szCs w:val="22"/>
              </w:rPr>
              <w:t>associations (</w:t>
            </w:r>
            <w:proofErr w:type="spellStart"/>
            <w:r>
              <w:rPr>
                <w:color w:val="0070C0"/>
                <w:szCs w:val="22"/>
              </w:rPr>
              <w:t>Pasc@line</w:t>
            </w:r>
            <w:proofErr w:type="spellEnd"/>
            <w:r>
              <w:rPr>
                <w:color w:val="0070C0"/>
                <w:szCs w:val="22"/>
              </w:rPr>
              <w:t xml:space="preserve">, MMI, </w:t>
            </w:r>
            <w:proofErr w:type="spellStart"/>
            <w:r>
              <w:rPr>
                <w:color w:val="0070C0"/>
                <w:szCs w:val="22"/>
              </w:rPr>
              <w:t>Elles</w:t>
            </w:r>
            <w:proofErr w:type="spellEnd"/>
            <w:r>
              <w:rPr>
                <w:color w:val="0070C0"/>
                <w:szCs w:val="22"/>
              </w:rPr>
              <w:t xml:space="preserve"> </w:t>
            </w:r>
            <w:proofErr w:type="spellStart"/>
            <w:r>
              <w:rPr>
                <w:color w:val="0070C0"/>
                <w:szCs w:val="22"/>
              </w:rPr>
              <w:t>Bougent</w:t>
            </w:r>
            <w:proofErr w:type="spellEnd"/>
            <w:r>
              <w:rPr>
                <w:color w:val="0070C0"/>
                <w:szCs w:val="22"/>
              </w:rPr>
              <w:t xml:space="preserve">, </w:t>
            </w:r>
            <w:proofErr w:type="spellStart"/>
            <w:r>
              <w:rPr>
                <w:color w:val="0070C0"/>
                <w:szCs w:val="22"/>
              </w:rPr>
              <w:t>LDigital</w:t>
            </w:r>
            <w:proofErr w:type="spellEnd"/>
            <w:r>
              <w:rPr>
                <w:color w:val="0070C0"/>
                <w:szCs w:val="22"/>
              </w:rPr>
              <w:t xml:space="preserve">, </w:t>
            </w:r>
            <w:proofErr w:type="spellStart"/>
            <w:r>
              <w:rPr>
                <w:color w:val="0070C0"/>
                <w:szCs w:val="22"/>
              </w:rPr>
              <w:t>OPE</w:t>
            </w:r>
            <w:proofErr w:type="spellEnd"/>
            <w:r>
              <w:rPr>
                <w:color w:val="0070C0"/>
                <w:szCs w:val="22"/>
              </w:rPr>
              <w:t>, etc.);</w:t>
            </w:r>
          </w:p>
          <w:p w14:paraId="1C249EF1" w14:textId="77777777" w:rsidR="006C7E47" w:rsidRPr="001C069A" w:rsidRDefault="006C7E47" w:rsidP="001C069A">
            <w:pPr>
              <w:numPr>
                <w:ilvl w:val="0"/>
                <w:numId w:val="4"/>
              </w:numPr>
              <w:tabs>
                <w:tab w:val="clear" w:pos="851"/>
              </w:tabs>
              <w:suppressAutoHyphens/>
              <w:jc w:val="both"/>
              <w:rPr>
                <w:rFonts w:cs="Calibri"/>
                <w:color w:val="0070C0"/>
                <w:szCs w:val="22"/>
              </w:rPr>
            </w:pPr>
            <w:proofErr w:type="gramStart"/>
            <w:r>
              <w:rPr>
                <w:color w:val="0070C0"/>
                <w:szCs w:val="22"/>
              </w:rPr>
              <w:t>also</w:t>
            </w:r>
            <w:proofErr w:type="gramEnd"/>
            <w:r>
              <w:rPr>
                <w:color w:val="0070C0"/>
                <w:szCs w:val="22"/>
              </w:rPr>
              <w:t xml:space="preserve"> at </w:t>
            </w:r>
            <w:proofErr w:type="spellStart"/>
            <w:r>
              <w:rPr>
                <w:color w:val="0070C0"/>
                <w:szCs w:val="22"/>
              </w:rPr>
              <w:t>INSA</w:t>
            </w:r>
            <w:proofErr w:type="spellEnd"/>
            <w:r>
              <w:rPr>
                <w:color w:val="0070C0"/>
                <w:szCs w:val="22"/>
              </w:rPr>
              <w:t xml:space="preserve"> Group level</w:t>
            </w:r>
          </w:p>
          <w:p w14:paraId="43F25261" w14:textId="77777777" w:rsidR="006C7E47" w:rsidRPr="001C069A" w:rsidRDefault="006C7E47" w:rsidP="001C069A">
            <w:pPr>
              <w:numPr>
                <w:ilvl w:val="0"/>
                <w:numId w:val="4"/>
              </w:numPr>
              <w:tabs>
                <w:tab w:val="clear" w:pos="851"/>
              </w:tabs>
              <w:suppressAutoHyphens/>
              <w:spacing w:after="240"/>
              <w:jc w:val="both"/>
              <w:rPr>
                <w:rFonts w:cs="Calibri"/>
                <w:color w:val="0070C0"/>
                <w:szCs w:val="22"/>
              </w:rPr>
            </w:pPr>
            <w:r>
              <w:rPr>
                <w:color w:val="0070C0"/>
                <w:szCs w:val="22"/>
              </w:rPr>
              <w:t>Work with the LGBT networks of companies and student associations to prevent discrimination on the grounds of sexual orientation and gender identity. (diversity meetings)</w:t>
            </w:r>
          </w:p>
        </w:tc>
        <w:tc>
          <w:tcPr>
            <w:tcW w:w="3871" w:type="dxa"/>
            <w:tcBorders>
              <w:top w:val="single" w:sz="4" w:space="0" w:color="auto"/>
              <w:left w:val="single" w:sz="4" w:space="0" w:color="auto"/>
              <w:bottom w:val="single" w:sz="4" w:space="0" w:color="auto"/>
            </w:tcBorders>
            <w:shd w:val="clear" w:color="auto" w:fill="FFFFFF"/>
          </w:tcPr>
          <w:p w14:paraId="424F2104" w14:textId="77777777" w:rsidR="006C7E47" w:rsidRPr="001C069A" w:rsidRDefault="006C7E47" w:rsidP="001C069A">
            <w:pPr>
              <w:suppressAutoHyphens/>
              <w:jc w:val="both"/>
              <w:rPr>
                <w:rFonts w:cs="Calibri"/>
                <w:szCs w:val="22"/>
              </w:rPr>
            </w:pPr>
          </w:p>
        </w:tc>
        <w:tc>
          <w:tcPr>
            <w:tcW w:w="3832" w:type="dxa"/>
            <w:tcBorders>
              <w:top w:val="single" w:sz="4" w:space="0" w:color="auto"/>
              <w:left w:val="single" w:sz="4" w:space="0" w:color="auto"/>
              <w:bottom w:val="single" w:sz="4" w:space="0" w:color="auto"/>
              <w:right w:val="single" w:sz="4" w:space="0" w:color="auto"/>
            </w:tcBorders>
            <w:shd w:val="clear" w:color="auto" w:fill="FFFFFF"/>
          </w:tcPr>
          <w:p w14:paraId="70B25EC2" w14:textId="77777777" w:rsidR="006C7E47" w:rsidRPr="001C069A" w:rsidRDefault="006C7E47" w:rsidP="001C069A">
            <w:pPr>
              <w:suppressAutoHyphens/>
              <w:jc w:val="both"/>
              <w:rPr>
                <w:rFonts w:cs="Calibri"/>
                <w:szCs w:val="22"/>
              </w:rPr>
            </w:pPr>
          </w:p>
        </w:tc>
      </w:tr>
    </w:tbl>
    <w:p w14:paraId="016E4C59" w14:textId="2F634C6B" w:rsidR="001C069A" w:rsidRDefault="001C069A" w:rsidP="006C7E47">
      <w:pPr>
        <w:suppressAutoHyphens/>
        <w:rPr>
          <w:sz w:val="20"/>
          <w:szCs w:val="2"/>
        </w:rPr>
      </w:pPr>
      <w:r>
        <w:br w:type="page"/>
      </w:r>
    </w:p>
    <w:tbl>
      <w:tblPr>
        <w:tblOverlap w:val="never"/>
        <w:tblW w:w="5000" w:type="pct"/>
        <w:tblLayout w:type="fixed"/>
        <w:tblCellMar>
          <w:top w:w="28" w:type="dxa"/>
          <w:left w:w="85" w:type="dxa"/>
          <w:bottom w:w="28" w:type="dxa"/>
          <w:right w:w="85" w:type="dxa"/>
        </w:tblCellMar>
        <w:tblLook w:val="04A0" w:firstRow="1" w:lastRow="0" w:firstColumn="1" w:lastColumn="0" w:noHBand="0" w:noVBand="1"/>
      </w:tblPr>
      <w:tblGrid>
        <w:gridCol w:w="9143"/>
        <w:gridCol w:w="4996"/>
        <w:gridCol w:w="3856"/>
        <w:gridCol w:w="3856"/>
      </w:tblGrid>
      <w:tr w:rsidR="006C7E47" w:rsidRPr="001C069A" w14:paraId="3665EE12" w14:textId="77777777" w:rsidTr="001C069A">
        <w:trPr>
          <w:trHeight w:val="23"/>
        </w:trPr>
        <w:tc>
          <w:tcPr>
            <w:tcW w:w="14038" w:type="dxa"/>
            <w:gridSpan w:val="2"/>
            <w:tcBorders>
              <w:top w:val="single" w:sz="4" w:space="0" w:color="auto"/>
              <w:left w:val="single" w:sz="4" w:space="0" w:color="auto"/>
            </w:tcBorders>
            <w:shd w:val="clear" w:color="auto" w:fill="F2F2F2"/>
          </w:tcPr>
          <w:p w14:paraId="6D85E1F1" w14:textId="0DEAC35C" w:rsidR="006C7E47" w:rsidRPr="001C069A" w:rsidRDefault="006C7E47" w:rsidP="001C069A">
            <w:pPr>
              <w:pStyle w:val="Titre1"/>
            </w:pPr>
            <w:r>
              <w:lastRenderedPageBreak/>
              <w:t>GENDER EQUALITY OFFICE IN INSTITUTIONS</w:t>
            </w:r>
          </w:p>
        </w:tc>
        <w:tc>
          <w:tcPr>
            <w:tcW w:w="3828" w:type="dxa"/>
            <w:tcBorders>
              <w:top w:val="single" w:sz="4" w:space="0" w:color="auto"/>
              <w:left w:val="single" w:sz="4" w:space="0" w:color="auto"/>
            </w:tcBorders>
            <w:shd w:val="clear" w:color="auto" w:fill="F2F2F2"/>
          </w:tcPr>
          <w:p w14:paraId="4439D762" w14:textId="77777777" w:rsidR="006C7E47" w:rsidRPr="001C069A" w:rsidRDefault="006C7E47" w:rsidP="001C069A">
            <w:pPr>
              <w:suppressAutoHyphens/>
              <w:jc w:val="both"/>
              <w:rPr>
                <w:rFonts w:cs="Calibri"/>
                <w:szCs w:val="22"/>
              </w:rPr>
            </w:pPr>
          </w:p>
        </w:tc>
        <w:tc>
          <w:tcPr>
            <w:tcW w:w="3828" w:type="dxa"/>
            <w:tcBorders>
              <w:top w:val="single" w:sz="4" w:space="0" w:color="auto"/>
              <w:left w:val="single" w:sz="4" w:space="0" w:color="auto"/>
              <w:right w:val="single" w:sz="4" w:space="0" w:color="auto"/>
            </w:tcBorders>
            <w:shd w:val="clear" w:color="auto" w:fill="F2F2F2"/>
          </w:tcPr>
          <w:p w14:paraId="7A0895C0" w14:textId="77777777" w:rsidR="006C7E47" w:rsidRPr="001C069A" w:rsidRDefault="006C7E47" w:rsidP="001C069A">
            <w:pPr>
              <w:suppressAutoHyphens/>
              <w:jc w:val="both"/>
              <w:rPr>
                <w:rFonts w:cs="Calibri"/>
                <w:szCs w:val="22"/>
              </w:rPr>
            </w:pPr>
          </w:p>
        </w:tc>
      </w:tr>
      <w:tr w:rsidR="006C7E47" w:rsidRPr="001C069A" w14:paraId="2ECDC62A" w14:textId="77777777" w:rsidTr="001C069A">
        <w:trPr>
          <w:trHeight w:val="23"/>
        </w:trPr>
        <w:tc>
          <w:tcPr>
            <w:tcW w:w="9078" w:type="dxa"/>
            <w:tcBorders>
              <w:top w:val="single" w:sz="4" w:space="0" w:color="auto"/>
              <w:left w:val="single" w:sz="4" w:space="0" w:color="auto"/>
            </w:tcBorders>
            <w:shd w:val="clear" w:color="auto" w:fill="F2F2F2"/>
          </w:tcPr>
          <w:p w14:paraId="7F6B042C" w14:textId="7869B79E" w:rsidR="006C7E47" w:rsidRPr="001C069A" w:rsidRDefault="006C7E47" w:rsidP="001C069A">
            <w:pPr>
              <w:pStyle w:val="Titre2"/>
              <w:spacing w:before="240"/>
            </w:pPr>
            <w:r>
              <w:t xml:space="preserve">Appoint an Equality Officer, identified within the institution, who will be responsible for the implementation of the charter. </w:t>
            </w:r>
            <w:r>
              <w:rPr>
                <w:b/>
              </w:rPr>
              <w:t xml:space="preserve">Additional reference to the </w:t>
            </w:r>
            <w:proofErr w:type="spellStart"/>
            <w:r>
              <w:rPr>
                <w:b/>
              </w:rPr>
              <w:t>CGE</w:t>
            </w:r>
            <w:proofErr w:type="spellEnd"/>
            <w:r>
              <w:rPr>
                <w:b/>
              </w:rPr>
              <w:t xml:space="preserve">: </w:t>
            </w:r>
            <w:r>
              <w:t>this task will be included in his or her remit and this person will have the authority and material resources to complete it.</w:t>
            </w:r>
          </w:p>
        </w:tc>
        <w:tc>
          <w:tcPr>
            <w:tcW w:w="4960" w:type="dxa"/>
            <w:tcBorders>
              <w:top w:val="single" w:sz="4" w:space="0" w:color="auto"/>
              <w:left w:val="single" w:sz="4" w:space="0" w:color="auto"/>
            </w:tcBorders>
            <w:shd w:val="clear" w:color="auto" w:fill="auto"/>
          </w:tcPr>
          <w:p w14:paraId="478C11CE" w14:textId="77777777" w:rsidR="006C7E47" w:rsidRPr="001C069A" w:rsidRDefault="006C7E47" w:rsidP="001C069A">
            <w:pPr>
              <w:suppressAutoHyphens/>
              <w:jc w:val="both"/>
              <w:rPr>
                <w:rFonts w:cs="Calibri"/>
                <w:szCs w:val="22"/>
              </w:rPr>
            </w:pPr>
          </w:p>
        </w:tc>
        <w:tc>
          <w:tcPr>
            <w:tcW w:w="3828" w:type="dxa"/>
            <w:tcBorders>
              <w:top w:val="single" w:sz="4" w:space="0" w:color="auto"/>
              <w:left w:val="single" w:sz="4" w:space="0" w:color="auto"/>
            </w:tcBorders>
            <w:shd w:val="clear" w:color="auto" w:fill="FFFFFF"/>
          </w:tcPr>
          <w:p w14:paraId="6393F58F" w14:textId="77777777" w:rsidR="006C7E47" w:rsidRPr="001C069A" w:rsidRDefault="006C7E47" w:rsidP="001C069A">
            <w:pPr>
              <w:suppressAutoHyphens/>
              <w:jc w:val="both"/>
              <w:rPr>
                <w:rFonts w:cs="Calibri"/>
                <w:szCs w:val="22"/>
              </w:rPr>
            </w:pPr>
          </w:p>
        </w:tc>
        <w:tc>
          <w:tcPr>
            <w:tcW w:w="3828" w:type="dxa"/>
            <w:tcBorders>
              <w:top w:val="single" w:sz="4" w:space="0" w:color="auto"/>
              <w:left w:val="single" w:sz="4" w:space="0" w:color="auto"/>
              <w:right w:val="single" w:sz="4" w:space="0" w:color="auto"/>
            </w:tcBorders>
            <w:shd w:val="clear" w:color="auto" w:fill="FFFFFF"/>
          </w:tcPr>
          <w:p w14:paraId="3E40541A" w14:textId="77777777" w:rsidR="006C7E47" w:rsidRPr="001C069A" w:rsidRDefault="006C7E47" w:rsidP="001C069A">
            <w:pPr>
              <w:suppressAutoHyphens/>
              <w:spacing w:after="240"/>
              <w:jc w:val="both"/>
              <w:rPr>
                <w:rFonts w:cs="Calibri"/>
                <w:szCs w:val="22"/>
              </w:rPr>
            </w:pPr>
            <w:r>
              <w:t xml:space="preserve">Current Equality Officer: Éric </w:t>
            </w:r>
            <w:proofErr w:type="spellStart"/>
            <w:r>
              <w:t>Maurincomme</w:t>
            </w:r>
            <w:proofErr w:type="spellEnd"/>
            <w:r>
              <w:t xml:space="preserve">, Director </w:t>
            </w:r>
            <w:proofErr w:type="spellStart"/>
            <w:r>
              <w:t>INSA</w:t>
            </w:r>
            <w:proofErr w:type="spellEnd"/>
            <w:r>
              <w:t xml:space="preserve"> Lyon</w:t>
            </w:r>
          </w:p>
          <w:p w14:paraId="44E74B87" w14:textId="77777777" w:rsidR="006C7E47" w:rsidRPr="001C069A" w:rsidRDefault="006C7E47" w:rsidP="001C069A">
            <w:pPr>
              <w:suppressAutoHyphens/>
              <w:jc w:val="both"/>
              <w:rPr>
                <w:rFonts w:cs="Calibri"/>
                <w:szCs w:val="22"/>
              </w:rPr>
            </w:pPr>
            <w:r>
              <w:t>Proposal:</w:t>
            </w:r>
          </w:p>
          <w:p w14:paraId="78494AF6" w14:textId="77777777" w:rsidR="006C7E47" w:rsidRPr="001C069A" w:rsidRDefault="006C7E47" w:rsidP="001C069A">
            <w:pPr>
              <w:suppressAutoHyphens/>
              <w:jc w:val="both"/>
              <w:rPr>
                <w:rFonts w:cs="Calibri"/>
                <w:szCs w:val="22"/>
              </w:rPr>
            </w:pPr>
            <w:r>
              <w:t xml:space="preserve">Given the size of the school, </w:t>
            </w:r>
            <w:proofErr w:type="spellStart"/>
            <w:r>
              <w:t>INSA</w:t>
            </w:r>
            <w:proofErr w:type="spellEnd"/>
            <w:r>
              <w:t xml:space="preserve"> Lyon is able to appoint two Equality Officers: one to ensure the application of the Charter for staff and human resources management, and the other for students and training, all coordinated by the director of the school</w:t>
            </w:r>
          </w:p>
        </w:tc>
      </w:tr>
      <w:tr w:rsidR="006C7E47" w:rsidRPr="001C069A" w14:paraId="7B895E4D" w14:textId="77777777" w:rsidTr="001C069A">
        <w:trPr>
          <w:trHeight w:val="23"/>
        </w:trPr>
        <w:tc>
          <w:tcPr>
            <w:tcW w:w="9078" w:type="dxa"/>
            <w:tcBorders>
              <w:top w:val="single" w:sz="4" w:space="0" w:color="auto"/>
              <w:left w:val="single" w:sz="4" w:space="0" w:color="auto"/>
            </w:tcBorders>
            <w:shd w:val="clear" w:color="auto" w:fill="F2F2F2"/>
            <w:vAlign w:val="bottom"/>
          </w:tcPr>
          <w:p w14:paraId="27380A68" w14:textId="1EB6C38A" w:rsidR="006C7E47" w:rsidRPr="001C069A" w:rsidRDefault="006C7E47" w:rsidP="001C069A">
            <w:pPr>
              <w:pStyle w:val="Titre2"/>
            </w:pPr>
            <w:r>
              <w:t>Define the remit of the Equality Officer in a letter of engagement and provide him/her with the resources to implement the set policy, which will be evaluated when the draft five-year contract is reviewed</w:t>
            </w:r>
          </w:p>
        </w:tc>
        <w:tc>
          <w:tcPr>
            <w:tcW w:w="4960" w:type="dxa"/>
            <w:tcBorders>
              <w:top w:val="single" w:sz="4" w:space="0" w:color="auto"/>
              <w:left w:val="single" w:sz="4" w:space="0" w:color="auto"/>
            </w:tcBorders>
            <w:shd w:val="clear" w:color="auto" w:fill="auto"/>
          </w:tcPr>
          <w:p w14:paraId="2BF406C2" w14:textId="77777777" w:rsidR="006C7E47" w:rsidRPr="001C069A" w:rsidRDefault="006C7E47" w:rsidP="001C069A">
            <w:pPr>
              <w:suppressAutoHyphens/>
              <w:jc w:val="both"/>
              <w:rPr>
                <w:rFonts w:cs="Calibri"/>
                <w:szCs w:val="22"/>
              </w:rPr>
            </w:pPr>
          </w:p>
        </w:tc>
        <w:tc>
          <w:tcPr>
            <w:tcW w:w="3828" w:type="dxa"/>
            <w:tcBorders>
              <w:top w:val="single" w:sz="4" w:space="0" w:color="auto"/>
              <w:left w:val="single" w:sz="4" w:space="0" w:color="auto"/>
            </w:tcBorders>
            <w:shd w:val="clear" w:color="auto" w:fill="FFFFFF"/>
          </w:tcPr>
          <w:p w14:paraId="4BB4052F" w14:textId="77777777" w:rsidR="006C7E47" w:rsidRPr="001C069A" w:rsidRDefault="006C7E47" w:rsidP="001C069A">
            <w:pPr>
              <w:suppressAutoHyphens/>
              <w:jc w:val="both"/>
              <w:rPr>
                <w:rFonts w:cs="Calibri"/>
                <w:szCs w:val="22"/>
              </w:rPr>
            </w:pPr>
          </w:p>
        </w:tc>
        <w:tc>
          <w:tcPr>
            <w:tcW w:w="3828" w:type="dxa"/>
            <w:tcBorders>
              <w:top w:val="single" w:sz="4" w:space="0" w:color="auto"/>
              <w:left w:val="single" w:sz="4" w:space="0" w:color="auto"/>
              <w:right w:val="single" w:sz="4" w:space="0" w:color="auto"/>
            </w:tcBorders>
            <w:shd w:val="clear" w:color="auto" w:fill="FFFFFF"/>
          </w:tcPr>
          <w:p w14:paraId="5437CB91" w14:textId="77777777" w:rsidR="006C7E47" w:rsidRPr="001C069A" w:rsidRDefault="006C7E47" w:rsidP="001C069A">
            <w:pPr>
              <w:suppressAutoHyphens/>
              <w:jc w:val="both"/>
              <w:rPr>
                <w:rFonts w:cs="Calibri"/>
                <w:szCs w:val="22"/>
              </w:rPr>
            </w:pPr>
            <w:r>
              <w:t>To-do list</w:t>
            </w:r>
          </w:p>
        </w:tc>
      </w:tr>
      <w:tr w:rsidR="006C7E47" w:rsidRPr="001C069A" w14:paraId="65919261" w14:textId="77777777" w:rsidTr="001C069A">
        <w:trPr>
          <w:trHeight w:val="23"/>
        </w:trPr>
        <w:tc>
          <w:tcPr>
            <w:tcW w:w="14038" w:type="dxa"/>
            <w:gridSpan w:val="2"/>
            <w:tcBorders>
              <w:top w:val="single" w:sz="4" w:space="0" w:color="auto"/>
              <w:left w:val="single" w:sz="4" w:space="0" w:color="auto"/>
            </w:tcBorders>
            <w:shd w:val="clear" w:color="auto" w:fill="F2F2F2"/>
            <w:vAlign w:val="bottom"/>
          </w:tcPr>
          <w:p w14:paraId="5FF3AE00" w14:textId="1D542B68" w:rsidR="006C7E47" w:rsidRPr="001C069A" w:rsidRDefault="006C7E47" w:rsidP="001C069A">
            <w:pPr>
              <w:pStyle w:val="Titre1"/>
            </w:pPr>
            <w:r>
              <w:t>UPSTREAM ATTRACTIVENESS POLICY</w:t>
            </w:r>
          </w:p>
        </w:tc>
        <w:tc>
          <w:tcPr>
            <w:tcW w:w="3828" w:type="dxa"/>
            <w:tcBorders>
              <w:top w:val="single" w:sz="4" w:space="0" w:color="auto"/>
              <w:left w:val="single" w:sz="4" w:space="0" w:color="auto"/>
            </w:tcBorders>
            <w:shd w:val="clear" w:color="auto" w:fill="FFFFFF"/>
          </w:tcPr>
          <w:p w14:paraId="226723EC" w14:textId="77777777" w:rsidR="006C7E47" w:rsidRPr="001C069A" w:rsidRDefault="006C7E47" w:rsidP="001C069A">
            <w:pPr>
              <w:suppressAutoHyphens/>
              <w:jc w:val="both"/>
              <w:rPr>
                <w:rFonts w:cs="Calibri"/>
                <w:szCs w:val="22"/>
              </w:rPr>
            </w:pPr>
          </w:p>
        </w:tc>
        <w:tc>
          <w:tcPr>
            <w:tcW w:w="3828" w:type="dxa"/>
            <w:tcBorders>
              <w:top w:val="single" w:sz="4" w:space="0" w:color="auto"/>
              <w:left w:val="single" w:sz="4" w:space="0" w:color="auto"/>
              <w:right w:val="single" w:sz="4" w:space="0" w:color="auto"/>
            </w:tcBorders>
            <w:shd w:val="clear" w:color="auto" w:fill="FFFFFF"/>
          </w:tcPr>
          <w:p w14:paraId="69D9DA1E" w14:textId="77777777" w:rsidR="006C7E47" w:rsidRPr="001C069A" w:rsidRDefault="006C7E47" w:rsidP="001C069A">
            <w:pPr>
              <w:suppressAutoHyphens/>
              <w:jc w:val="both"/>
              <w:rPr>
                <w:rFonts w:cs="Calibri"/>
                <w:szCs w:val="22"/>
              </w:rPr>
            </w:pPr>
          </w:p>
        </w:tc>
      </w:tr>
      <w:tr w:rsidR="006C7E47" w:rsidRPr="001C069A" w14:paraId="6930DA6F" w14:textId="77777777" w:rsidTr="001C069A">
        <w:trPr>
          <w:trHeight w:val="23"/>
        </w:trPr>
        <w:tc>
          <w:tcPr>
            <w:tcW w:w="9078" w:type="dxa"/>
            <w:tcBorders>
              <w:top w:val="single" w:sz="4" w:space="0" w:color="auto"/>
              <w:left w:val="single" w:sz="4" w:space="0" w:color="auto"/>
            </w:tcBorders>
            <w:shd w:val="clear" w:color="auto" w:fill="F2F2F2"/>
            <w:vAlign w:val="bottom"/>
          </w:tcPr>
          <w:p w14:paraId="1CA97925" w14:textId="208D40B5" w:rsidR="006C7E47" w:rsidRPr="001C069A" w:rsidRDefault="006C7E47" w:rsidP="00C24A61">
            <w:pPr>
              <w:pStyle w:val="Titre2"/>
              <w:spacing w:after="240"/>
            </w:pPr>
            <w:r>
              <w:t>Take part in regular events at secondary schools in their geographical recruitment area by means of specific presentations or forums, in order to promote courses where parity does not exist among minority groups.</w:t>
            </w:r>
          </w:p>
        </w:tc>
        <w:tc>
          <w:tcPr>
            <w:tcW w:w="4960" w:type="dxa"/>
            <w:tcBorders>
              <w:top w:val="single" w:sz="4" w:space="0" w:color="auto"/>
              <w:left w:val="single" w:sz="4" w:space="0" w:color="auto"/>
            </w:tcBorders>
            <w:shd w:val="clear" w:color="auto" w:fill="auto"/>
          </w:tcPr>
          <w:p w14:paraId="2C99351E" w14:textId="77777777" w:rsidR="006C7E47" w:rsidRPr="001C069A" w:rsidRDefault="006C7E47" w:rsidP="00C24A61">
            <w:pPr>
              <w:suppressAutoHyphens/>
              <w:spacing w:after="240"/>
              <w:jc w:val="both"/>
              <w:rPr>
                <w:rFonts w:cs="Calibri"/>
                <w:color w:val="0070C0"/>
                <w:szCs w:val="22"/>
              </w:rPr>
            </w:pPr>
            <w:r>
              <w:rPr>
                <w:color w:val="0070C0"/>
                <w:szCs w:val="22"/>
              </w:rPr>
              <w:t xml:space="preserve">Incentive actions for all audiences carried out by the </w:t>
            </w:r>
            <w:proofErr w:type="spellStart"/>
            <w:r>
              <w:rPr>
                <w:color w:val="0070C0"/>
                <w:szCs w:val="22"/>
              </w:rPr>
              <w:t>Institut</w:t>
            </w:r>
            <w:proofErr w:type="spellEnd"/>
            <w:r>
              <w:rPr>
                <w:color w:val="0070C0"/>
                <w:szCs w:val="22"/>
              </w:rPr>
              <w:t xml:space="preserve"> Gaston Berger (</w:t>
            </w:r>
            <w:proofErr w:type="spellStart"/>
            <w:r>
              <w:rPr>
                <w:color w:val="0070C0"/>
                <w:szCs w:val="22"/>
              </w:rPr>
              <w:t>CAP'Sciences</w:t>
            </w:r>
            <w:proofErr w:type="spellEnd"/>
            <w:r>
              <w:rPr>
                <w:color w:val="0070C0"/>
                <w:szCs w:val="22"/>
              </w:rPr>
              <w:t xml:space="preserve">, </w:t>
            </w:r>
            <w:proofErr w:type="spellStart"/>
            <w:r>
              <w:rPr>
                <w:color w:val="0070C0"/>
                <w:szCs w:val="22"/>
              </w:rPr>
              <w:t>CAP'INSA</w:t>
            </w:r>
            <w:proofErr w:type="spellEnd"/>
            <w:r>
              <w:rPr>
                <w:color w:val="0070C0"/>
                <w:szCs w:val="22"/>
              </w:rPr>
              <w:t xml:space="preserve"> and </w:t>
            </w:r>
            <w:proofErr w:type="spellStart"/>
            <w:r>
              <w:rPr>
                <w:color w:val="0070C0"/>
                <w:szCs w:val="22"/>
              </w:rPr>
              <w:t>Handicap'INSA</w:t>
            </w:r>
            <w:proofErr w:type="spellEnd"/>
            <w:r>
              <w:rPr>
                <w:color w:val="0070C0"/>
                <w:szCs w:val="22"/>
              </w:rPr>
              <w:t xml:space="preserve">) with actions targeted at gender stereotypes (2016: ‘Is engineering your gender?’ workshop).  </w:t>
            </w:r>
          </w:p>
        </w:tc>
        <w:tc>
          <w:tcPr>
            <w:tcW w:w="3828" w:type="dxa"/>
            <w:tcBorders>
              <w:top w:val="single" w:sz="4" w:space="0" w:color="auto"/>
              <w:left w:val="single" w:sz="4" w:space="0" w:color="auto"/>
            </w:tcBorders>
            <w:shd w:val="clear" w:color="auto" w:fill="FFFFFF"/>
          </w:tcPr>
          <w:p w14:paraId="0C978DFA" w14:textId="77777777" w:rsidR="006C7E47" w:rsidRPr="001C069A" w:rsidRDefault="006C7E47" w:rsidP="00C24A61">
            <w:pPr>
              <w:suppressAutoHyphens/>
              <w:spacing w:after="240"/>
              <w:jc w:val="both"/>
              <w:rPr>
                <w:rFonts w:cs="Calibri"/>
                <w:color w:val="0070C0"/>
                <w:szCs w:val="22"/>
              </w:rPr>
            </w:pPr>
            <w:r>
              <w:rPr>
                <w:color w:val="0070C0"/>
                <w:szCs w:val="22"/>
              </w:rPr>
              <w:t>Implementation of digital communication tools to provide incentives and information on engineering studies and careers for all audiences, including girls</w:t>
            </w:r>
          </w:p>
        </w:tc>
        <w:tc>
          <w:tcPr>
            <w:tcW w:w="3828" w:type="dxa"/>
            <w:tcBorders>
              <w:top w:val="single" w:sz="4" w:space="0" w:color="auto"/>
              <w:left w:val="single" w:sz="4" w:space="0" w:color="auto"/>
              <w:right w:val="single" w:sz="4" w:space="0" w:color="auto"/>
            </w:tcBorders>
            <w:shd w:val="clear" w:color="auto" w:fill="FFFFFF"/>
          </w:tcPr>
          <w:p w14:paraId="2D2E6DA3" w14:textId="77777777" w:rsidR="006C7E47" w:rsidRPr="001C069A" w:rsidRDefault="006C7E47" w:rsidP="001C069A">
            <w:pPr>
              <w:suppressAutoHyphens/>
              <w:jc w:val="both"/>
              <w:rPr>
                <w:rFonts w:cs="Calibri"/>
                <w:szCs w:val="22"/>
              </w:rPr>
            </w:pPr>
          </w:p>
        </w:tc>
      </w:tr>
      <w:tr w:rsidR="006C7E47" w:rsidRPr="001C069A" w14:paraId="74A1671D" w14:textId="77777777" w:rsidTr="001C069A">
        <w:trPr>
          <w:trHeight w:val="23"/>
        </w:trPr>
        <w:tc>
          <w:tcPr>
            <w:tcW w:w="9078" w:type="dxa"/>
            <w:tcBorders>
              <w:left w:val="single" w:sz="4" w:space="0" w:color="auto"/>
            </w:tcBorders>
            <w:shd w:val="clear" w:color="auto" w:fill="F2F2F2"/>
            <w:vAlign w:val="bottom"/>
          </w:tcPr>
          <w:p w14:paraId="1238B476" w14:textId="77777777" w:rsidR="006C7E47" w:rsidRPr="001C069A" w:rsidRDefault="006C7E47" w:rsidP="001C069A">
            <w:pPr>
              <w:suppressAutoHyphens/>
              <w:jc w:val="both"/>
              <w:rPr>
                <w:rFonts w:cs="Calibri"/>
                <w:b/>
                <w:bCs/>
                <w:i/>
                <w:iCs/>
                <w:szCs w:val="22"/>
              </w:rPr>
            </w:pPr>
            <w:r>
              <w:rPr>
                <w:b/>
                <w:bCs/>
                <w:i/>
                <w:iCs/>
                <w:szCs w:val="22"/>
              </w:rPr>
              <w:t xml:space="preserve">Specific reference to the </w:t>
            </w:r>
            <w:proofErr w:type="spellStart"/>
            <w:r>
              <w:rPr>
                <w:b/>
                <w:bCs/>
                <w:i/>
                <w:iCs/>
                <w:szCs w:val="22"/>
              </w:rPr>
              <w:t>CGE</w:t>
            </w:r>
            <w:proofErr w:type="spellEnd"/>
            <w:r>
              <w:rPr>
                <w:b/>
                <w:bCs/>
                <w:i/>
                <w:iCs/>
                <w:szCs w:val="22"/>
              </w:rPr>
              <w:t>:</w:t>
            </w:r>
          </w:p>
          <w:p w14:paraId="246FC811" w14:textId="77777777" w:rsidR="006C7E47" w:rsidRPr="001C069A" w:rsidRDefault="006C7E47" w:rsidP="001C069A">
            <w:pPr>
              <w:suppressAutoHyphens/>
              <w:jc w:val="both"/>
              <w:rPr>
                <w:rFonts w:cs="Calibri"/>
                <w:szCs w:val="22"/>
              </w:rPr>
            </w:pPr>
            <w:r>
              <w:t>The many stereotypes present in the family, education, culture, the media, the world of work and the organisation of society are notably responsible for the lack of interest of young people, and in particular the majority of girls, in science and technology.</w:t>
            </w:r>
          </w:p>
          <w:p w14:paraId="6F5B0CAA" w14:textId="77777777" w:rsidR="006C7E47" w:rsidRPr="001C069A" w:rsidRDefault="006C7E47" w:rsidP="001C069A">
            <w:pPr>
              <w:suppressAutoHyphens/>
              <w:jc w:val="both"/>
              <w:rPr>
                <w:rFonts w:cs="Calibri"/>
                <w:szCs w:val="22"/>
              </w:rPr>
            </w:pPr>
            <w:r>
              <w:t xml:space="preserve">The </w:t>
            </w:r>
            <w:proofErr w:type="spellStart"/>
            <w:r>
              <w:t>CGE</w:t>
            </w:r>
            <w:proofErr w:type="spellEnd"/>
            <w:r>
              <w:t xml:space="preserve"> will encourage schools to take part in regular events at secondary schools in their area through specific presentations or forums to promote scientific and technical studies to girls.</w:t>
            </w:r>
          </w:p>
          <w:p w14:paraId="1301C375" w14:textId="77777777" w:rsidR="006C7E47" w:rsidRPr="001C069A" w:rsidRDefault="006C7E47" w:rsidP="001C069A">
            <w:pPr>
              <w:suppressAutoHyphens/>
              <w:jc w:val="both"/>
              <w:rPr>
                <w:rFonts w:cs="Calibri"/>
                <w:szCs w:val="22"/>
              </w:rPr>
            </w:pPr>
            <w:r>
              <w:t xml:space="preserve">Through its Gender Equality Group, the </w:t>
            </w:r>
            <w:proofErr w:type="spellStart"/>
            <w:r>
              <w:t>CGE</w:t>
            </w:r>
            <w:proofErr w:type="spellEnd"/>
            <w:r>
              <w:t xml:space="preserve"> is committed to coordinating, encouraging and promoting the actions of schools in this respect. It will coordinate communication with the media and institutions.</w:t>
            </w:r>
          </w:p>
          <w:p w14:paraId="45B40FFC" w14:textId="77777777" w:rsidR="006C7E47" w:rsidRPr="001C069A" w:rsidRDefault="006C7E47" w:rsidP="001C069A">
            <w:pPr>
              <w:suppressAutoHyphens/>
              <w:jc w:val="both"/>
              <w:rPr>
                <w:rFonts w:cs="Calibri"/>
                <w:szCs w:val="22"/>
              </w:rPr>
            </w:pPr>
            <w:r>
              <w:t>The Equality Officer within the institution is responsible for the implementation of this policy</w:t>
            </w:r>
          </w:p>
        </w:tc>
        <w:tc>
          <w:tcPr>
            <w:tcW w:w="4960" w:type="dxa"/>
            <w:tcBorders>
              <w:left w:val="single" w:sz="4" w:space="0" w:color="auto"/>
            </w:tcBorders>
            <w:shd w:val="clear" w:color="auto" w:fill="auto"/>
          </w:tcPr>
          <w:p w14:paraId="27D5FE08" w14:textId="77777777" w:rsidR="006C7E47" w:rsidRPr="001C069A" w:rsidRDefault="006C7E47" w:rsidP="001C069A">
            <w:pPr>
              <w:suppressAutoHyphens/>
              <w:jc w:val="both"/>
              <w:rPr>
                <w:rFonts w:cs="Calibri"/>
                <w:color w:val="0070C0"/>
                <w:szCs w:val="22"/>
              </w:rPr>
            </w:pPr>
            <w:r>
              <w:rPr>
                <w:color w:val="0070C0"/>
                <w:szCs w:val="22"/>
              </w:rPr>
              <w:t>Partnership with several associations for the promotion of scientific fields (</w:t>
            </w:r>
            <w:proofErr w:type="spellStart"/>
            <w:r>
              <w:rPr>
                <w:color w:val="0070C0"/>
                <w:szCs w:val="22"/>
              </w:rPr>
              <w:t>Elles</w:t>
            </w:r>
            <w:proofErr w:type="spellEnd"/>
            <w:r>
              <w:rPr>
                <w:color w:val="0070C0"/>
                <w:szCs w:val="22"/>
              </w:rPr>
              <w:t xml:space="preserve"> </w:t>
            </w:r>
            <w:proofErr w:type="spellStart"/>
            <w:r>
              <w:rPr>
                <w:color w:val="0070C0"/>
                <w:szCs w:val="22"/>
              </w:rPr>
              <w:t>Bougent</w:t>
            </w:r>
            <w:proofErr w:type="spellEnd"/>
            <w:r>
              <w:rPr>
                <w:color w:val="0070C0"/>
                <w:szCs w:val="22"/>
              </w:rPr>
              <w:t xml:space="preserve">, </w:t>
            </w:r>
            <w:proofErr w:type="spellStart"/>
            <w:r>
              <w:rPr>
                <w:color w:val="0070C0"/>
                <w:szCs w:val="22"/>
              </w:rPr>
              <w:t>OPE</w:t>
            </w:r>
            <w:proofErr w:type="spellEnd"/>
            <w:r>
              <w:rPr>
                <w:color w:val="0070C0"/>
                <w:szCs w:val="22"/>
              </w:rPr>
              <w:t>, etc.)</w:t>
            </w:r>
          </w:p>
        </w:tc>
        <w:tc>
          <w:tcPr>
            <w:tcW w:w="3828" w:type="dxa"/>
            <w:tcBorders>
              <w:left w:val="single" w:sz="4" w:space="0" w:color="auto"/>
            </w:tcBorders>
            <w:shd w:val="clear" w:color="auto" w:fill="FFFFFF"/>
          </w:tcPr>
          <w:p w14:paraId="577F3752" w14:textId="77777777" w:rsidR="006C7E47" w:rsidRPr="001C069A" w:rsidRDefault="006C7E47" w:rsidP="00C24A61">
            <w:pPr>
              <w:suppressAutoHyphens/>
              <w:spacing w:after="240"/>
              <w:jc w:val="both"/>
              <w:rPr>
                <w:rFonts w:cs="Calibri"/>
                <w:color w:val="0070C0"/>
                <w:szCs w:val="22"/>
              </w:rPr>
            </w:pPr>
            <w:r>
              <w:rPr>
                <w:color w:val="0070C0"/>
                <w:szCs w:val="22"/>
              </w:rPr>
              <w:t>Summer schools and holiday courses reserved for secondary school girls to discover engineering studies and careers and for female undergraduates to discover IT and digital careers</w:t>
            </w:r>
          </w:p>
          <w:p w14:paraId="467A2A64" w14:textId="77777777" w:rsidR="006C7E47" w:rsidRPr="001C069A" w:rsidRDefault="006C7E47" w:rsidP="001C069A">
            <w:pPr>
              <w:suppressAutoHyphens/>
              <w:jc w:val="both"/>
              <w:rPr>
                <w:rFonts w:cs="Calibri"/>
                <w:color w:val="0070C0"/>
                <w:szCs w:val="22"/>
              </w:rPr>
            </w:pPr>
            <w:r>
              <w:rPr>
                <w:color w:val="0070C0"/>
                <w:szCs w:val="22"/>
              </w:rPr>
              <w:t>Create specific information and communication actions for Bac + 2 students</w:t>
            </w:r>
          </w:p>
        </w:tc>
        <w:tc>
          <w:tcPr>
            <w:tcW w:w="3828" w:type="dxa"/>
            <w:tcBorders>
              <w:left w:val="single" w:sz="4" w:space="0" w:color="auto"/>
              <w:right w:val="single" w:sz="4" w:space="0" w:color="auto"/>
            </w:tcBorders>
            <w:shd w:val="clear" w:color="auto" w:fill="FFFFFF"/>
          </w:tcPr>
          <w:p w14:paraId="57B923DB" w14:textId="77777777" w:rsidR="006C7E47" w:rsidRPr="001C069A" w:rsidRDefault="006C7E47" w:rsidP="001C069A">
            <w:pPr>
              <w:suppressAutoHyphens/>
              <w:jc w:val="both"/>
              <w:rPr>
                <w:rFonts w:cs="Calibri"/>
                <w:szCs w:val="22"/>
              </w:rPr>
            </w:pPr>
          </w:p>
        </w:tc>
      </w:tr>
      <w:tr w:rsidR="006C7E47" w:rsidRPr="001C069A" w14:paraId="651826A2" w14:textId="77777777" w:rsidTr="001C069A">
        <w:trPr>
          <w:trHeight w:val="23"/>
        </w:trPr>
        <w:tc>
          <w:tcPr>
            <w:tcW w:w="9078" w:type="dxa"/>
            <w:tcBorders>
              <w:top w:val="single" w:sz="4" w:space="0" w:color="auto"/>
              <w:left w:val="single" w:sz="4" w:space="0" w:color="auto"/>
              <w:bottom w:val="single" w:sz="4" w:space="0" w:color="auto"/>
            </w:tcBorders>
            <w:shd w:val="clear" w:color="auto" w:fill="F2F2F2"/>
            <w:vAlign w:val="bottom"/>
          </w:tcPr>
          <w:p w14:paraId="6EFDCC94" w14:textId="09AA1FF6" w:rsidR="006C7E47" w:rsidRPr="001C069A" w:rsidRDefault="006C7E47" w:rsidP="00C24A61">
            <w:pPr>
              <w:pStyle w:val="Titre2"/>
            </w:pPr>
            <w:r>
              <w:t>Make sure the institution's communication materials are free of stereotypes</w:t>
            </w:r>
          </w:p>
        </w:tc>
        <w:tc>
          <w:tcPr>
            <w:tcW w:w="4960" w:type="dxa"/>
            <w:tcBorders>
              <w:top w:val="single" w:sz="4" w:space="0" w:color="auto"/>
              <w:left w:val="single" w:sz="4" w:space="0" w:color="auto"/>
              <w:bottom w:val="single" w:sz="4" w:space="0" w:color="auto"/>
            </w:tcBorders>
            <w:shd w:val="clear" w:color="auto" w:fill="auto"/>
          </w:tcPr>
          <w:p w14:paraId="199E2C26" w14:textId="77777777" w:rsidR="006C7E47" w:rsidRPr="001C069A" w:rsidRDefault="006C7E47" w:rsidP="001C069A">
            <w:pPr>
              <w:suppressAutoHyphens/>
              <w:jc w:val="both"/>
              <w:rPr>
                <w:rFonts w:cs="Calibri"/>
                <w:color w:val="0070C0"/>
                <w:szCs w:val="22"/>
              </w:rPr>
            </w:pPr>
            <w:r>
              <w:rPr>
                <w:color w:val="0070C0"/>
                <w:szCs w:val="22"/>
              </w:rPr>
              <w:t>Communications Department/</w:t>
            </w:r>
            <w:proofErr w:type="spellStart"/>
            <w:r>
              <w:rPr>
                <w:color w:val="0070C0"/>
                <w:szCs w:val="22"/>
              </w:rPr>
              <w:t>Institut</w:t>
            </w:r>
            <w:proofErr w:type="spellEnd"/>
            <w:r>
              <w:rPr>
                <w:color w:val="0070C0"/>
                <w:szCs w:val="22"/>
              </w:rPr>
              <w:t xml:space="preserve"> Gaston Berger</w:t>
            </w:r>
          </w:p>
        </w:tc>
        <w:tc>
          <w:tcPr>
            <w:tcW w:w="3828" w:type="dxa"/>
            <w:tcBorders>
              <w:top w:val="single" w:sz="4" w:space="0" w:color="auto"/>
              <w:left w:val="single" w:sz="4" w:space="0" w:color="auto"/>
              <w:bottom w:val="single" w:sz="4" w:space="0" w:color="auto"/>
            </w:tcBorders>
            <w:shd w:val="clear" w:color="auto" w:fill="FFFFFF"/>
          </w:tcPr>
          <w:p w14:paraId="6410744F" w14:textId="77777777" w:rsidR="006C7E47" w:rsidRPr="001C069A" w:rsidRDefault="006C7E47" w:rsidP="001C069A">
            <w:pPr>
              <w:suppressAutoHyphens/>
              <w:jc w:val="both"/>
              <w:rPr>
                <w:rFonts w:cs="Calibri"/>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14:paraId="664AF7FA" w14:textId="77777777" w:rsidR="006C7E47" w:rsidRPr="001C069A" w:rsidRDefault="006C7E47" w:rsidP="001C069A">
            <w:pPr>
              <w:suppressAutoHyphens/>
              <w:jc w:val="both"/>
              <w:rPr>
                <w:rFonts w:cs="Calibri"/>
                <w:szCs w:val="22"/>
              </w:rPr>
            </w:pPr>
            <w:r>
              <w:t>Communications Department/</w:t>
            </w:r>
            <w:proofErr w:type="spellStart"/>
            <w:r>
              <w:t>IGB</w:t>
            </w:r>
            <w:proofErr w:type="spellEnd"/>
          </w:p>
        </w:tc>
      </w:tr>
    </w:tbl>
    <w:p w14:paraId="4966460D" w14:textId="77777777" w:rsidR="00BA37C2" w:rsidRPr="006C7E47" w:rsidRDefault="00BA37C2" w:rsidP="006C7E47">
      <w:pPr>
        <w:suppressAutoHyphens/>
        <w:rPr>
          <w:sz w:val="20"/>
          <w:szCs w:val="2"/>
        </w:rPr>
      </w:pPr>
    </w:p>
    <w:sectPr w:rsidR="00BA37C2" w:rsidRPr="006C7E47" w:rsidSect="004812DC">
      <w:headerReference w:type="default" r:id="rId7"/>
      <w:footerReference w:type="default" r:id="rId8"/>
      <w:pgSz w:w="23808" w:h="16840" w:orient="landscape" w:code="8"/>
      <w:pgMar w:top="1701" w:right="1418" w:bottom="1276" w:left="709" w:header="284"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C507E" w14:textId="77777777" w:rsidR="00DF6A50" w:rsidRDefault="00DF6A50">
      <w:r>
        <w:separator/>
      </w:r>
    </w:p>
  </w:endnote>
  <w:endnote w:type="continuationSeparator" w:id="0">
    <w:p w14:paraId="0AEF7E40" w14:textId="77777777" w:rsidR="00DF6A50" w:rsidRDefault="00DF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0F982" w14:textId="44360CF0" w:rsidR="006C7E47" w:rsidRDefault="006C7E47" w:rsidP="006C7E47">
    <w:pPr>
      <w:pStyle w:val="Pieddepage"/>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1576F" w14:textId="77777777" w:rsidR="00DF6A50" w:rsidRDefault="00DF6A50"/>
  </w:footnote>
  <w:footnote w:type="continuationSeparator" w:id="0">
    <w:p w14:paraId="054118A3" w14:textId="77777777" w:rsidR="00DF6A50" w:rsidRDefault="00DF6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tblInd w:w="-284" w:type="dxa"/>
      <w:tblLayout w:type="fixed"/>
      <w:tblCellMar>
        <w:top w:w="28" w:type="dxa"/>
        <w:left w:w="28" w:type="dxa"/>
        <w:bottom w:w="28" w:type="dxa"/>
        <w:right w:w="28" w:type="dxa"/>
      </w:tblCellMar>
      <w:tblLook w:val="04A0" w:firstRow="1" w:lastRow="0" w:firstColumn="1" w:lastColumn="0" w:noHBand="0" w:noVBand="1"/>
    </w:tblPr>
    <w:tblGrid>
      <w:gridCol w:w="2276"/>
    </w:tblGrid>
    <w:tr w:rsidR="006C7E47" w:rsidRPr="006C7E47" w14:paraId="0C77CD5B" w14:textId="77777777" w:rsidTr="006C7E47">
      <w:trPr>
        <w:trHeight w:val="23"/>
      </w:trPr>
      <w:tc>
        <w:tcPr>
          <w:tcW w:w="2276" w:type="dxa"/>
          <w:shd w:val="clear" w:color="auto" w:fill="FFFFFF"/>
        </w:tcPr>
        <w:p w14:paraId="18338B68" w14:textId="77777777" w:rsidR="006C7E47" w:rsidRPr="006C7E47" w:rsidRDefault="006C7E47" w:rsidP="006C7E47">
          <w:pPr>
            <w:suppressAutoHyphens/>
          </w:pPr>
          <w:r w:rsidRPr="006C7E47">
            <w:fldChar w:fldCharType="begin"/>
          </w:r>
          <w:r w:rsidRPr="006C7E47">
            <w:instrText xml:space="preserve"> INCLUDEPICTURE  "E:\\auto\\as\\2020\\11.2020\\AT-10189_SOURCE\\media\\image1.png" \* MERGEFORMATINET </w:instrText>
          </w:r>
          <w:r w:rsidRPr="006C7E47">
            <w:fldChar w:fldCharType="separate"/>
          </w:r>
          <w:r w:rsidR="000B67F9">
            <w:fldChar w:fldCharType="begin"/>
          </w:r>
          <w:r w:rsidR="000B67F9">
            <w:instrText xml:space="preserve"> INCLUDEPICTURE  "\\\\storage_01\\AallonDocs\\Projects\\AT-10189\\AT-10189_IT_FR2020-10-968_OCR_TARGET\\media\\image1.png" \* MERGEFORMATINET </w:instrText>
          </w:r>
          <w:r w:rsidR="000B67F9">
            <w:fldChar w:fldCharType="separate"/>
          </w:r>
          <w:r w:rsidR="006D3B8D">
            <w:fldChar w:fldCharType="begin"/>
          </w:r>
          <w:r w:rsidR="006D3B8D">
            <w:instrText xml:space="preserve"> </w:instrText>
          </w:r>
          <w:r w:rsidR="006D3B8D">
            <w:instrText>INCLUDEPICT</w:instrText>
          </w:r>
          <w:r w:rsidR="006D3B8D">
            <w:instrText>URE  "P:\\traductions\\202010\\INSA_2020-10-968 _THE Impact Ranking_FR-EN\\4. Final\\Lot 3\\media\\image1.png" \* MERGEFORMATINET</w:instrText>
          </w:r>
          <w:r w:rsidR="006D3B8D">
            <w:instrText xml:space="preserve"> </w:instrText>
          </w:r>
          <w:r w:rsidR="006D3B8D">
            <w:fldChar w:fldCharType="separate"/>
          </w:r>
          <w:r w:rsidR="006D3B8D">
            <w:pict w14:anchorId="768CF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26.25pt">
                <v:imagedata r:id="rId1" r:href="rId2"/>
              </v:shape>
            </w:pict>
          </w:r>
          <w:r w:rsidR="006D3B8D">
            <w:fldChar w:fldCharType="end"/>
          </w:r>
          <w:r w:rsidR="000B67F9">
            <w:fldChar w:fldCharType="end"/>
          </w:r>
          <w:r w:rsidRPr="006C7E47">
            <w:fldChar w:fldCharType="end"/>
          </w:r>
        </w:p>
      </w:tc>
    </w:tr>
    <w:tr w:rsidR="006C7E47" w:rsidRPr="006C7E47" w14:paraId="2FA302C1" w14:textId="77777777" w:rsidTr="006C7E47">
      <w:trPr>
        <w:trHeight w:val="23"/>
      </w:trPr>
      <w:tc>
        <w:tcPr>
          <w:tcW w:w="2276" w:type="dxa"/>
          <w:shd w:val="clear" w:color="auto" w:fill="FFFFFF"/>
          <w:vAlign w:val="bottom"/>
        </w:tcPr>
        <w:p w14:paraId="6B0DD4DA" w14:textId="77777777" w:rsidR="006C7E47" w:rsidRPr="006C7E47" w:rsidRDefault="006C7E47" w:rsidP="006C7E47">
          <w:pPr>
            <w:suppressAutoHyphens/>
            <w:rPr>
              <w:rFonts w:ascii="Arial" w:hAnsi="Arial"/>
              <w:sz w:val="18"/>
              <w:szCs w:val="18"/>
            </w:rPr>
          </w:pPr>
          <w:proofErr w:type="spellStart"/>
          <w:r>
            <w:rPr>
              <w:rFonts w:ascii="Arial" w:hAnsi="Arial"/>
              <w:sz w:val="18"/>
              <w:szCs w:val="18"/>
            </w:rPr>
            <w:t>INSTITUT</w:t>
          </w:r>
          <w:proofErr w:type="spellEnd"/>
        </w:p>
        <w:p w14:paraId="0CABA343" w14:textId="77777777" w:rsidR="006C7E47" w:rsidRPr="006C7E47" w:rsidRDefault="006C7E47" w:rsidP="006C7E47">
          <w:pPr>
            <w:suppressAutoHyphens/>
            <w:rPr>
              <w:rFonts w:ascii="Arial" w:hAnsi="Arial"/>
              <w:b/>
              <w:bCs/>
              <w:color w:val="2E7C93"/>
              <w:sz w:val="24"/>
            </w:rPr>
          </w:pPr>
          <w:r>
            <w:rPr>
              <w:rFonts w:ascii="Arial" w:hAnsi="Arial"/>
              <w:b/>
              <w:bCs/>
              <w:color w:val="2E7C93"/>
              <w:sz w:val="24"/>
            </w:rPr>
            <w:t>GASTON BERGER</w:t>
          </w:r>
        </w:p>
      </w:tc>
    </w:tr>
  </w:tbl>
  <w:p w14:paraId="6DAC490E" w14:textId="77777777" w:rsidR="006C7E47" w:rsidRDefault="006C7E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145A"/>
    <w:multiLevelType w:val="multilevel"/>
    <w:tmpl w:val="83CCB73A"/>
    <w:lvl w:ilvl="0">
      <w:start w:val="1"/>
      <w:numFmt w:val="bullet"/>
      <w:lvlText w:val="•"/>
      <w:lvlJc w:val="left"/>
      <w:pPr>
        <w:tabs>
          <w:tab w:val="num" w:pos="851"/>
        </w:tabs>
        <w:ind w:left="851" w:hanging="426"/>
      </w:pPr>
      <w:rPr>
        <w:rFonts w:ascii="Calibri" w:hAnsi="Calibri" w:cs="Calibri" w:hint="default"/>
        <w:b w:val="0"/>
        <w:bCs w:val="0"/>
        <w:i w:val="0"/>
        <w:iCs w:val="0"/>
        <w:smallCaps w:val="0"/>
        <w:strike w:val="0"/>
        <w:color w:val="000000"/>
        <w:spacing w:val="0"/>
        <w:w w:val="100"/>
        <w:kern w:val="0"/>
        <w:position w:val="0"/>
        <w:sz w:val="22"/>
        <w:szCs w:val="22"/>
        <w:u w:val="none"/>
        <w:lang w:val="fr-FR" w:eastAsia="fr-FR" w:bidi="fr-FR"/>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1" w15:restartNumberingAfterBreak="0">
    <w:nsid w:val="02FA6B8D"/>
    <w:multiLevelType w:val="multilevel"/>
    <w:tmpl w:val="5E9A99A0"/>
    <w:lvl w:ilvl="0">
      <w:start w:val="1"/>
      <w:numFmt w:val="bullet"/>
      <w:lvlText w:val="-"/>
      <w:lvlJc w:val="left"/>
      <w:pPr>
        <w:tabs>
          <w:tab w:val="num" w:pos="0"/>
        </w:tabs>
        <w:ind w:left="0" w:firstLine="0"/>
      </w:pPr>
      <w:rPr>
        <w:rFonts w:ascii="Arial" w:eastAsia="Arial" w:hAnsi="Arial" w:cs="Arial"/>
        <w:b w:val="0"/>
        <w:bCs w:val="0"/>
        <w:i w:val="0"/>
        <w:iCs w:val="0"/>
        <w:smallCaps w:val="0"/>
        <w:strike w:val="0"/>
        <w:color w:val="0070C0"/>
        <w:spacing w:val="0"/>
        <w:w w:val="100"/>
        <w:kern w:val="0"/>
        <w:position w:val="0"/>
        <w:sz w:val="19"/>
        <w:szCs w:val="19"/>
        <w:u w:val="none"/>
        <w:lang w:val="fr-FR" w:eastAsia="fr-FR" w:bidi="fr-FR"/>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2" w15:restartNumberingAfterBreak="0">
    <w:nsid w:val="2B661B73"/>
    <w:multiLevelType w:val="multilevel"/>
    <w:tmpl w:val="7AC8D9EA"/>
    <w:lvl w:ilvl="0">
      <w:start w:val="1"/>
      <w:numFmt w:val="bullet"/>
      <w:lvlText w:val="-"/>
      <w:lvlJc w:val="left"/>
      <w:pPr>
        <w:tabs>
          <w:tab w:val="num" w:pos="0"/>
        </w:tabs>
        <w:ind w:left="0" w:firstLine="0"/>
      </w:pPr>
      <w:rPr>
        <w:rFonts w:ascii="Arial" w:eastAsia="Arial" w:hAnsi="Arial" w:cs="Arial"/>
        <w:b w:val="0"/>
        <w:bCs w:val="0"/>
        <w:i w:val="0"/>
        <w:iCs w:val="0"/>
        <w:smallCaps w:val="0"/>
        <w:strike w:val="0"/>
        <w:color w:val="0070C0"/>
        <w:spacing w:val="0"/>
        <w:w w:val="100"/>
        <w:kern w:val="0"/>
        <w:position w:val="0"/>
        <w:sz w:val="19"/>
        <w:szCs w:val="19"/>
        <w:u w:val="none"/>
        <w:lang w:val="fr-FR" w:eastAsia="fr-FR" w:bidi="fr-FR"/>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3" w15:restartNumberingAfterBreak="0">
    <w:nsid w:val="2CE80163"/>
    <w:multiLevelType w:val="hybridMultilevel"/>
    <w:tmpl w:val="52BEA184"/>
    <w:lvl w:ilvl="0" w:tplc="F3140364">
      <w:numFmt w:val="bullet"/>
      <w:lvlText w:val=""/>
      <w:lvlJc w:val="left"/>
      <w:pPr>
        <w:ind w:left="720" w:hanging="360"/>
      </w:pPr>
      <w:rPr>
        <w:rFonts w:ascii="Symbol" w:eastAsia="Arial"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AE05282"/>
    <w:multiLevelType w:val="hybridMultilevel"/>
    <w:tmpl w:val="2AB6E52C"/>
    <w:lvl w:ilvl="0" w:tplc="C7A6C6A0">
      <w:start w:val="1"/>
      <w:numFmt w:val="bullet"/>
      <w:lvlText w:val="o"/>
      <w:lvlJc w:val="left"/>
      <w:pPr>
        <w:tabs>
          <w:tab w:val="num" w:pos="284"/>
        </w:tabs>
        <w:ind w:left="284" w:hanging="284"/>
      </w:pPr>
      <w:rPr>
        <w:rFonts w:ascii="Courier New" w:hAnsi="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1883D05"/>
    <w:multiLevelType w:val="hybridMultilevel"/>
    <w:tmpl w:val="5B12200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1E501A8"/>
    <w:multiLevelType w:val="multilevel"/>
    <w:tmpl w:val="CE08AEAC"/>
    <w:lvl w:ilvl="0">
      <w:start w:val="1"/>
      <w:numFmt w:val="decimal"/>
      <w:lvlText w:val="%1."/>
      <w:lvlJc w:val="left"/>
      <w:pPr>
        <w:tabs>
          <w:tab w:val="num" w:pos="851"/>
        </w:tabs>
        <w:ind w:left="851" w:hanging="426"/>
      </w:pPr>
      <w:rPr>
        <w:rFonts w:ascii="Calibri" w:eastAsia="Arial" w:hAnsi="Calibri" w:cs="Calibri" w:hint="default"/>
        <w:b w:val="0"/>
        <w:bCs w:val="0"/>
        <w:i w:val="0"/>
        <w:iCs w:val="0"/>
        <w:smallCaps w:val="0"/>
        <w:strike w:val="0"/>
        <w:color w:val="000000"/>
        <w:spacing w:val="0"/>
        <w:w w:val="100"/>
        <w:kern w:val="0"/>
        <w:position w:val="0"/>
        <w:sz w:val="22"/>
        <w:szCs w:val="22"/>
        <w:u w:val="none"/>
        <w:lang w:val="fr-FR" w:eastAsia="fr-FR" w:bidi="fr-FR"/>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7" w15:restartNumberingAfterBreak="0">
    <w:nsid w:val="59E60E3F"/>
    <w:multiLevelType w:val="multilevel"/>
    <w:tmpl w:val="1DB6158A"/>
    <w:lvl w:ilvl="0">
      <w:start w:val="1"/>
      <w:numFmt w:val="decimal"/>
      <w:pStyle w:val="Titre1"/>
      <w:lvlText w:val="%1."/>
      <w:lvlJc w:val="left"/>
      <w:pPr>
        <w:tabs>
          <w:tab w:val="num" w:pos="425"/>
        </w:tabs>
        <w:ind w:left="425" w:hanging="283"/>
      </w:pPr>
      <w:rPr>
        <w:rFonts w:hint="default"/>
      </w:rPr>
    </w:lvl>
    <w:lvl w:ilvl="1">
      <w:start w:val="1"/>
      <w:numFmt w:val="decimal"/>
      <w:pStyle w:val="Titre2"/>
      <w:lvlText w:val="%1.%2."/>
      <w:lvlJc w:val="left"/>
      <w:pPr>
        <w:tabs>
          <w:tab w:val="num" w:pos="425"/>
        </w:tabs>
        <w:ind w:left="425" w:hanging="42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8D115E"/>
    <w:multiLevelType w:val="multilevel"/>
    <w:tmpl w:val="0866813E"/>
    <w:lvl w:ilvl="0">
      <w:start w:val="1"/>
      <w:numFmt w:val="bullet"/>
      <w:lvlText w:val="-"/>
      <w:lvlJc w:val="left"/>
      <w:pPr>
        <w:tabs>
          <w:tab w:val="num" w:pos="851"/>
        </w:tabs>
        <w:ind w:left="851" w:hanging="426"/>
      </w:pPr>
      <w:rPr>
        <w:rFonts w:ascii="Calibri" w:hAnsi="Calibri" w:cs="Calibri" w:hint="default"/>
        <w:b w:val="0"/>
        <w:bCs w:val="0"/>
        <w:i w:val="0"/>
        <w:iCs w:val="0"/>
        <w:smallCaps w:val="0"/>
        <w:strike w:val="0"/>
        <w:color w:val="0070C0"/>
        <w:spacing w:val="0"/>
        <w:w w:val="100"/>
        <w:kern w:val="0"/>
        <w:position w:val="0"/>
        <w:sz w:val="22"/>
        <w:szCs w:val="22"/>
        <w:u w:val="none"/>
        <w:lang w:val="fr-FR" w:eastAsia="fr-FR" w:bidi="fr-FR"/>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9" w15:restartNumberingAfterBreak="0">
    <w:nsid w:val="69702DE9"/>
    <w:multiLevelType w:val="multilevel"/>
    <w:tmpl w:val="AD58ADE4"/>
    <w:lvl w:ilvl="0">
      <w:start w:val="1"/>
      <w:numFmt w:val="decimal"/>
      <w:lvlText w:val="%1."/>
      <w:lvlJc w:val="left"/>
      <w:pPr>
        <w:tabs>
          <w:tab w:val="num" w:pos="851"/>
        </w:tabs>
        <w:ind w:left="851" w:hanging="426"/>
      </w:pPr>
      <w:rPr>
        <w:rFonts w:ascii="Calibri" w:eastAsia="Arial" w:hAnsi="Calibri" w:cs="Calibri" w:hint="default"/>
        <w:b/>
        <w:bCs/>
        <w:i w:val="0"/>
        <w:iCs w:val="0"/>
        <w:smallCaps w:val="0"/>
        <w:strike w:val="0"/>
        <w:color w:val="000000"/>
        <w:spacing w:val="0"/>
        <w:w w:val="100"/>
        <w:kern w:val="0"/>
        <w:position w:val="0"/>
        <w:sz w:val="22"/>
        <w:szCs w:val="22"/>
        <w:u w:val="none"/>
        <w:lang w:val="fr-FR" w:eastAsia="fr-FR" w:bidi="fr-FR"/>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num w:numId="1">
    <w:abstractNumId w:val="0"/>
  </w:num>
  <w:num w:numId="2">
    <w:abstractNumId w:val="6"/>
  </w:num>
  <w:num w:numId="3">
    <w:abstractNumId w:val="9"/>
  </w:num>
  <w:num w:numId="4">
    <w:abstractNumId w:val="8"/>
  </w:num>
  <w:num w:numId="5">
    <w:abstractNumId w:val="1"/>
  </w:num>
  <w:num w:numId="6">
    <w:abstractNumId w:val="2"/>
  </w:num>
  <w:num w:numId="7">
    <w:abstractNumId w:val="7"/>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81"/>
  <w:drawingGridVerticalSpacing w:val="181"/>
  <w:characterSpacingControl w:val="compressPunctuation"/>
  <w:hdrShapeDefaults>
    <o:shapedefaults v:ext="edit" spidmax="4098"/>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BA37C2"/>
    <w:rsid w:val="000B67F9"/>
    <w:rsid w:val="001C069A"/>
    <w:rsid w:val="004812DC"/>
    <w:rsid w:val="006C7E47"/>
    <w:rsid w:val="006D3B8D"/>
    <w:rsid w:val="007117B4"/>
    <w:rsid w:val="008D7464"/>
    <w:rsid w:val="009E2B14"/>
    <w:rsid w:val="00BA37C2"/>
    <w:rsid w:val="00C24A61"/>
    <w:rsid w:val="00DF6A5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C45E1E7"/>
  <w15:docId w15:val="{0C21D4D9-1859-4495-BDE6-09B510E0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E47"/>
    <w:rPr>
      <w:rFonts w:ascii="Calibri" w:hAnsi="Calibri"/>
      <w:sz w:val="22"/>
    </w:rPr>
  </w:style>
  <w:style w:type="paragraph" w:styleId="Titre1">
    <w:name w:val="heading 1"/>
    <w:basedOn w:val="Paragraphedeliste"/>
    <w:next w:val="Normal"/>
    <w:link w:val="Titre1Car"/>
    <w:uiPriority w:val="9"/>
    <w:qFormat/>
    <w:rsid w:val="008D7464"/>
    <w:pPr>
      <w:numPr>
        <w:numId w:val="7"/>
      </w:numPr>
      <w:suppressAutoHyphens/>
      <w:outlineLvl w:val="0"/>
    </w:pPr>
    <w:rPr>
      <w:rFonts w:cs="Calibri"/>
      <w:b/>
      <w:bCs/>
      <w:szCs w:val="22"/>
    </w:rPr>
  </w:style>
  <w:style w:type="paragraph" w:styleId="Titre2">
    <w:name w:val="heading 2"/>
    <w:basedOn w:val="Paragraphedeliste"/>
    <w:next w:val="Normal"/>
    <w:link w:val="Titre2Car"/>
    <w:uiPriority w:val="9"/>
    <w:unhideWhenUsed/>
    <w:qFormat/>
    <w:rsid w:val="008D7464"/>
    <w:pPr>
      <w:numPr>
        <w:ilvl w:val="1"/>
        <w:numId w:val="7"/>
      </w:numPr>
      <w:suppressAutoHyphens/>
      <w:jc w:val="both"/>
      <w:outlineLvl w:val="1"/>
    </w:pPr>
    <w:rPr>
      <w:rFonts w:cs="Calibr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7464"/>
    <w:pPr>
      <w:ind w:left="720"/>
      <w:contextualSpacing/>
    </w:pPr>
  </w:style>
  <w:style w:type="character" w:customStyle="1" w:styleId="Titre1Car">
    <w:name w:val="Titre 1 Car"/>
    <w:basedOn w:val="Policepardfaut"/>
    <w:link w:val="Titre1"/>
    <w:uiPriority w:val="9"/>
    <w:rsid w:val="008D7464"/>
    <w:rPr>
      <w:rFonts w:ascii="Calibri" w:hAnsi="Calibri" w:cs="Calibri"/>
      <w:b/>
      <w:bCs/>
      <w:sz w:val="22"/>
      <w:szCs w:val="22"/>
    </w:rPr>
  </w:style>
  <w:style w:type="character" w:customStyle="1" w:styleId="Titre2Car">
    <w:name w:val="Titre 2 Car"/>
    <w:basedOn w:val="Policepardfaut"/>
    <w:link w:val="Titre2"/>
    <w:uiPriority w:val="9"/>
    <w:rsid w:val="008D7464"/>
    <w:rPr>
      <w:rFonts w:ascii="Calibri" w:hAnsi="Calibri" w:cs="Calibri"/>
      <w:sz w:val="22"/>
      <w:szCs w:val="22"/>
    </w:rPr>
  </w:style>
  <w:style w:type="paragraph" w:styleId="En-tte">
    <w:name w:val="header"/>
    <w:basedOn w:val="Normal"/>
    <w:link w:val="En-tteCar"/>
    <w:uiPriority w:val="99"/>
    <w:unhideWhenUsed/>
    <w:rsid w:val="006C7E47"/>
    <w:pPr>
      <w:tabs>
        <w:tab w:val="center" w:pos="4677"/>
        <w:tab w:val="right" w:pos="9355"/>
      </w:tabs>
    </w:pPr>
  </w:style>
  <w:style w:type="character" w:customStyle="1" w:styleId="En-tteCar">
    <w:name w:val="En-tête Car"/>
    <w:basedOn w:val="Policepardfaut"/>
    <w:link w:val="En-tte"/>
    <w:uiPriority w:val="99"/>
    <w:rsid w:val="006C7E47"/>
    <w:rPr>
      <w:rFonts w:ascii="Calibri" w:hAnsi="Calibri"/>
      <w:sz w:val="22"/>
    </w:rPr>
  </w:style>
  <w:style w:type="paragraph" w:styleId="Pieddepage">
    <w:name w:val="footer"/>
    <w:basedOn w:val="Normal"/>
    <w:link w:val="PieddepageCar"/>
    <w:uiPriority w:val="99"/>
    <w:unhideWhenUsed/>
    <w:rsid w:val="006C7E47"/>
    <w:pPr>
      <w:tabs>
        <w:tab w:val="center" w:pos="4677"/>
        <w:tab w:val="right" w:pos="9355"/>
      </w:tabs>
    </w:pPr>
  </w:style>
  <w:style w:type="character" w:customStyle="1" w:styleId="PieddepageCar">
    <w:name w:val="Pied de page Car"/>
    <w:basedOn w:val="Policepardfaut"/>
    <w:link w:val="Pieddepage"/>
    <w:uiPriority w:val="99"/>
    <w:rsid w:val="006C7E47"/>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2985</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Marine Gandit</cp:lastModifiedBy>
  <cp:revision>6</cp:revision>
  <dcterms:created xsi:type="dcterms:W3CDTF">2020-11-03T13:08:00Z</dcterms:created>
  <dcterms:modified xsi:type="dcterms:W3CDTF">2020-11-17T10:48:00Z</dcterms:modified>
</cp:coreProperties>
</file>